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00" w:lineRule="exact"/>
        <w:rPr>
          <w:rFonts w:ascii="黑体" w:eastAsia="黑体"/>
          <w:sz w:val="32"/>
          <w:szCs w:val="32"/>
        </w:rPr>
      </w:pPr>
      <w:r>
        <w:rPr>
          <w:rFonts w:hint="eastAsia" w:ascii="黑体" w:eastAsia="黑体"/>
          <w:sz w:val="32"/>
          <w:szCs w:val="32"/>
        </w:rPr>
        <w:t>附件</w:t>
      </w:r>
    </w:p>
    <w:p>
      <w:pPr>
        <w:overflowPunct w:val="0"/>
        <w:topLinePunct/>
        <w:spacing w:line="400" w:lineRule="exact"/>
        <w:rPr>
          <w:rFonts w:ascii="黑体" w:eastAsia="黑体"/>
          <w:sz w:val="32"/>
          <w:szCs w:val="32"/>
        </w:rPr>
      </w:pPr>
    </w:p>
    <w:p>
      <w:pPr>
        <w:overflowPunct w:val="0"/>
        <w:topLinePunct/>
        <w:spacing w:line="400" w:lineRule="exact"/>
        <w:jc w:val="center"/>
        <w:rPr>
          <w:rFonts w:ascii="黑体" w:eastAsia="黑体"/>
          <w:sz w:val="32"/>
          <w:szCs w:val="32"/>
        </w:rPr>
      </w:pPr>
      <w:r>
        <w:rPr>
          <w:rFonts w:hint="eastAsia" w:ascii="方正小标宋简体" w:hAnsi="方正小标宋简体" w:eastAsia="方正小标宋简体" w:cs="方正小标宋简体"/>
          <w:sz w:val="32"/>
          <w:szCs w:val="32"/>
        </w:rPr>
        <w:t>建设单位住宅工程质量信息公示表</w:t>
      </w:r>
    </w:p>
    <w:tbl>
      <w:tblPr>
        <w:tblStyle w:val="3"/>
        <w:tblW w:w="13597" w:type="dxa"/>
        <w:tblInd w:w="-612"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578"/>
        <w:gridCol w:w="1004"/>
        <w:gridCol w:w="2127"/>
        <w:gridCol w:w="2171"/>
        <w:gridCol w:w="2142"/>
        <w:gridCol w:w="2590"/>
        <w:gridCol w:w="29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center"/>
              <w:rPr>
                <w:rFonts w:ascii="宋体" w:hAnsi="宋体" w:cs="宋体"/>
                <w:kern w:val="0"/>
                <w:sz w:val="24"/>
              </w:rPr>
            </w:pPr>
            <w:r>
              <w:rPr>
                <w:rFonts w:hint="eastAsia" w:ascii="宋体" w:hAnsi="宋体" w:cs="宋体"/>
                <w:kern w:val="0"/>
                <w:sz w:val="24"/>
              </w:rPr>
              <w:t>施工许可信息</w:t>
            </w: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工程名称</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涛雒镇滨海湾花园棚户区改造二期十七号地块项目</w:t>
            </w:r>
            <w:r>
              <w:rPr>
                <w:rFonts w:hint="eastAsia" w:ascii="宋体" w:hAnsi="宋体" w:cs="宋体"/>
                <w:kern w:val="0"/>
                <w:sz w:val="24"/>
                <w:lang w:val="en-US" w:eastAsia="zh-CN"/>
              </w:rPr>
              <w:t>6</w:t>
            </w:r>
            <w:r>
              <w:rPr>
                <w:rFonts w:hint="eastAsia" w:ascii="宋体" w:hAnsi="宋体" w:cs="宋体"/>
                <w:kern w:val="0"/>
                <w:sz w:val="24"/>
              </w:rPr>
              <w:t>#住宅楼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建设地址</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滨海三路以东，望海五路以北</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建设规模</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lang w:val="en-US" w:eastAsia="zh-CN"/>
              </w:rPr>
              <w:t>4856.2</w:t>
            </w:r>
            <w:r>
              <w:rPr>
                <w:rFonts w:hint="eastAsia" w:ascii="宋体" w:hAnsi="宋体" w:cs="宋体"/>
                <w:kern w:val="0"/>
                <w:sz w:val="24"/>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合同工期</w:t>
            </w:r>
          </w:p>
        </w:tc>
        <w:tc>
          <w:tcPr>
            <w:tcW w:w="4313" w:type="dxa"/>
            <w:gridSpan w:val="2"/>
            <w:tcBorders>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500天</w:t>
            </w:r>
          </w:p>
        </w:tc>
        <w:tc>
          <w:tcPr>
            <w:tcW w:w="2590" w:type="dxa"/>
            <w:tcBorders>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合同价格</w:t>
            </w:r>
          </w:p>
        </w:tc>
        <w:tc>
          <w:tcPr>
            <w:tcW w:w="2985" w:type="dxa"/>
            <w:tcBorders>
              <w:lef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120</w:t>
            </w:r>
            <w:r>
              <w:rPr>
                <w:rFonts w:hint="eastAsia" w:ascii="宋体" w:hAnsi="宋体" w:cs="宋体"/>
                <w:kern w:val="0"/>
                <w:sz w:val="24"/>
                <w:lang w:val="en-US" w:eastAsia="zh-CN"/>
              </w:rPr>
              <w:t>1.6779</w:t>
            </w:r>
            <w:r>
              <w:rPr>
                <w:rFonts w:hint="eastAsia" w:ascii="宋体" w:hAnsi="宋体" w:cs="宋体"/>
                <w:kern w:val="0"/>
                <w:sz w:val="24"/>
              </w:rPr>
              <w:t>万元</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施工许可证编号</w:t>
            </w:r>
          </w:p>
        </w:tc>
        <w:tc>
          <w:tcPr>
            <w:tcW w:w="9888" w:type="dxa"/>
            <w:gridSpan w:val="4"/>
            <w:vAlign w:val="center"/>
          </w:tcPr>
          <w:p>
            <w:pPr>
              <w:widowControl/>
              <w:jc w:val="center"/>
              <w:rPr>
                <w:rFonts w:ascii="宋体" w:hAnsi="宋体" w:cs="宋体"/>
                <w:kern w:val="0"/>
                <w:sz w:val="24"/>
              </w:rPr>
            </w:pPr>
            <w:r>
              <w:rPr>
                <w:rFonts w:hint="eastAsia" w:ascii="宋体" w:hAnsi="宋体" w:cs="宋体"/>
                <w:kern w:val="0"/>
                <w:sz w:val="24"/>
              </w:rPr>
              <w:t>371102201903130101</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center"/>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发证机关</w:t>
            </w:r>
          </w:p>
        </w:tc>
        <w:tc>
          <w:tcPr>
            <w:tcW w:w="4313" w:type="dxa"/>
            <w:gridSpan w:val="2"/>
            <w:tcBorders>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日照市东港区住房和城乡建设局</w:t>
            </w:r>
          </w:p>
        </w:tc>
        <w:tc>
          <w:tcPr>
            <w:tcW w:w="2590" w:type="dxa"/>
            <w:tcBorders>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发证日期</w:t>
            </w:r>
          </w:p>
        </w:tc>
        <w:tc>
          <w:tcPr>
            <w:tcW w:w="2985" w:type="dxa"/>
            <w:tcBorders>
              <w:lef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2019年1月29日</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center"/>
              <w:rPr>
                <w:rFonts w:ascii="宋体" w:hAnsi="宋体" w:cs="宋体"/>
                <w:kern w:val="0"/>
                <w:sz w:val="24"/>
              </w:rPr>
            </w:pPr>
            <w:r>
              <w:rPr>
                <w:rFonts w:hint="eastAsia" w:ascii="宋体" w:hAnsi="宋体" w:cs="宋体"/>
                <w:kern w:val="0"/>
                <w:sz w:val="24"/>
              </w:rPr>
              <w:t>参建单位及项目负责人信息</w:t>
            </w:r>
          </w:p>
        </w:tc>
        <w:tc>
          <w:tcPr>
            <w:tcW w:w="2127" w:type="dxa"/>
            <w:noWrap/>
            <w:vAlign w:val="center"/>
          </w:tcPr>
          <w:p>
            <w:pPr>
              <w:widowControl/>
              <w:jc w:val="center"/>
              <w:rPr>
                <w:rFonts w:ascii="宋体" w:hAnsi="宋体" w:cs="宋体"/>
                <w:kern w:val="0"/>
                <w:sz w:val="24"/>
              </w:rPr>
            </w:pPr>
            <w:r>
              <w:rPr>
                <w:rFonts w:hint="eastAsia" w:ascii="宋体" w:hAnsi="宋体" w:cs="宋体"/>
                <w:kern w:val="0"/>
                <w:sz w:val="24"/>
              </w:rPr>
              <w:t>参建单位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单位名称</w:t>
            </w:r>
          </w:p>
        </w:tc>
        <w:tc>
          <w:tcPr>
            <w:tcW w:w="2142" w:type="dxa"/>
            <w:noWrap/>
            <w:vAlign w:val="center"/>
          </w:tcPr>
          <w:p>
            <w:pPr>
              <w:widowControl/>
              <w:jc w:val="center"/>
              <w:rPr>
                <w:rFonts w:ascii="宋体" w:hAnsi="宋体" w:cs="宋体"/>
                <w:kern w:val="0"/>
                <w:sz w:val="24"/>
              </w:rPr>
            </w:pPr>
            <w:r>
              <w:rPr>
                <w:rFonts w:hint="eastAsia" w:ascii="宋体" w:hAnsi="宋体" w:cs="宋体"/>
                <w:kern w:val="0"/>
                <w:sz w:val="24"/>
              </w:rPr>
              <w:t>资质等级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统一社会信用代码</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项目负责人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建设单位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山东海洋文化旅游发展有限公司</w:t>
            </w:r>
          </w:p>
        </w:tc>
        <w:tc>
          <w:tcPr>
            <w:tcW w:w="2142" w:type="dxa"/>
            <w:vAlign w:val="center"/>
          </w:tcPr>
          <w:p>
            <w:pPr>
              <w:widowControl/>
              <w:jc w:val="center"/>
              <w:rPr>
                <w:rFonts w:ascii="宋体" w:hAnsi="宋体" w:cs="宋体"/>
                <w:kern w:val="0"/>
                <w:sz w:val="24"/>
              </w:rPr>
            </w:pP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91371100593601206Q</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张炳山</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施工单位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中机城市建设有限公司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壹级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91110229114112617H</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孔军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监理单位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山东博仲项目管理有限公司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甲级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913708811695247902</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王军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勘察单位</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日照天宇勘察测绘有限公司</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乙级</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91371102068737244Q</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王明星</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19" w:hRule="atLeast"/>
        </w:trPr>
        <w:tc>
          <w:tcPr>
            <w:tcW w:w="1582" w:type="dxa"/>
            <w:gridSpan w:val="2"/>
            <w:vMerge w:val="continue"/>
            <w:vAlign w:val="center"/>
          </w:tcPr>
          <w:p>
            <w:pPr>
              <w:widowControl/>
              <w:jc w:val="left"/>
              <w:rPr>
                <w:rFonts w:ascii="宋体" w:hAnsi="宋体" w:cs="宋体"/>
                <w:kern w:val="0"/>
                <w:sz w:val="24"/>
              </w:rPr>
            </w:pPr>
          </w:p>
        </w:tc>
        <w:tc>
          <w:tcPr>
            <w:tcW w:w="2127"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设计单位</w:t>
            </w:r>
          </w:p>
        </w:tc>
        <w:tc>
          <w:tcPr>
            <w:tcW w:w="2171"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日照市规划设计研究院</w:t>
            </w:r>
          </w:p>
        </w:tc>
        <w:tc>
          <w:tcPr>
            <w:tcW w:w="2142"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甲级</w:t>
            </w:r>
          </w:p>
        </w:tc>
        <w:tc>
          <w:tcPr>
            <w:tcW w:w="2590"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9137110249517882XX</w:t>
            </w:r>
          </w:p>
        </w:tc>
        <w:tc>
          <w:tcPr>
            <w:tcW w:w="2985" w:type="dxa"/>
            <w:tcBorders>
              <w:bottom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杨林涛</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90" w:hRule="atLeast"/>
        </w:trPr>
        <w:tc>
          <w:tcPr>
            <w:tcW w:w="1582" w:type="dxa"/>
            <w:gridSpan w:val="2"/>
            <w:vMerge w:val="continue"/>
            <w:vAlign w:val="center"/>
          </w:tcPr>
          <w:p>
            <w:pPr>
              <w:widowControl/>
              <w:jc w:val="left"/>
              <w:rPr>
                <w:rFonts w:ascii="宋体" w:hAnsi="宋体" w:cs="宋体"/>
                <w:kern w:val="0"/>
                <w:sz w:val="24"/>
              </w:rPr>
            </w:pPr>
          </w:p>
        </w:tc>
        <w:tc>
          <w:tcPr>
            <w:tcW w:w="2127" w:type="dxa"/>
            <w:tcBorders>
              <w:top w:val="single" w:color="auto" w:sz="4" w:space="0"/>
            </w:tcBorders>
            <w:vAlign w:val="center"/>
          </w:tcPr>
          <w:p>
            <w:pPr>
              <w:jc w:val="center"/>
              <w:rPr>
                <w:rFonts w:ascii="宋体" w:hAnsi="宋体" w:cs="宋体"/>
                <w:kern w:val="0"/>
                <w:sz w:val="24"/>
              </w:rPr>
            </w:pPr>
            <w:r>
              <w:rPr>
                <w:rFonts w:hint="eastAsia" w:ascii="宋体" w:hAnsi="宋体" w:cs="宋体"/>
                <w:kern w:val="0"/>
                <w:sz w:val="24"/>
              </w:rPr>
              <w:t>其他单位</w:t>
            </w:r>
          </w:p>
        </w:tc>
        <w:tc>
          <w:tcPr>
            <w:tcW w:w="2171" w:type="dxa"/>
            <w:tcBorders>
              <w:top w:val="single" w:color="auto" w:sz="4" w:space="0"/>
            </w:tcBorders>
            <w:vAlign w:val="center"/>
          </w:tcPr>
          <w:p>
            <w:pPr>
              <w:widowControl/>
              <w:jc w:val="center"/>
              <w:rPr>
                <w:rFonts w:ascii="宋体" w:hAnsi="宋体" w:cs="宋体"/>
                <w:kern w:val="0"/>
                <w:sz w:val="24"/>
              </w:rPr>
            </w:pPr>
          </w:p>
        </w:tc>
        <w:tc>
          <w:tcPr>
            <w:tcW w:w="2142" w:type="dxa"/>
            <w:tcBorders>
              <w:top w:val="single" w:color="auto" w:sz="4" w:space="0"/>
            </w:tcBorders>
            <w:vAlign w:val="center"/>
          </w:tcPr>
          <w:p>
            <w:pPr>
              <w:widowControl/>
              <w:jc w:val="center"/>
              <w:rPr>
                <w:rFonts w:ascii="宋体" w:hAnsi="宋体" w:cs="宋体"/>
                <w:kern w:val="0"/>
                <w:sz w:val="24"/>
              </w:rPr>
            </w:pPr>
          </w:p>
        </w:tc>
        <w:tc>
          <w:tcPr>
            <w:tcW w:w="2590" w:type="dxa"/>
            <w:tcBorders>
              <w:top w:val="single" w:color="auto" w:sz="4" w:space="0"/>
            </w:tcBorders>
            <w:vAlign w:val="center"/>
          </w:tcPr>
          <w:p>
            <w:pPr>
              <w:widowControl/>
              <w:jc w:val="center"/>
              <w:rPr>
                <w:rFonts w:ascii="宋体" w:hAnsi="宋体" w:cs="宋体"/>
                <w:kern w:val="0"/>
                <w:sz w:val="24"/>
              </w:rPr>
            </w:pPr>
          </w:p>
        </w:tc>
        <w:tc>
          <w:tcPr>
            <w:tcW w:w="2985" w:type="dxa"/>
            <w:tcBorders>
              <w:top w:val="single" w:color="auto" w:sz="4" w:space="0"/>
            </w:tcBorders>
            <w:vAlign w:val="center"/>
          </w:tcPr>
          <w:p>
            <w:pPr>
              <w:widowControl/>
              <w:jc w:val="center"/>
              <w:rPr>
                <w:rFonts w:ascii="宋体" w:hAnsi="宋体" w:cs="宋体"/>
                <w:kern w:val="0"/>
                <w:sz w:val="24"/>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04" w:hRule="atLeast"/>
        </w:trPr>
        <w:tc>
          <w:tcPr>
            <w:tcW w:w="1582" w:type="dxa"/>
            <w:gridSpan w:val="2"/>
            <w:vMerge w:val="restart"/>
            <w:vAlign w:val="center"/>
          </w:tcPr>
          <w:p>
            <w:pPr>
              <w:widowControl/>
              <w:jc w:val="left"/>
              <w:rPr>
                <w:rFonts w:ascii="宋体" w:hAnsi="宋体" w:cs="宋体"/>
                <w:kern w:val="0"/>
                <w:sz w:val="24"/>
              </w:rPr>
            </w:pPr>
            <w:r>
              <w:rPr>
                <w:rFonts w:hint="eastAsia" w:ascii="宋体" w:hAnsi="宋体" w:cs="宋体"/>
                <w:kern w:val="0"/>
                <w:sz w:val="24"/>
              </w:rPr>
              <w:t>主要建筑材料信息</w:t>
            </w:r>
          </w:p>
        </w:tc>
        <w:tc>
          <w:tcPr>
            <w:tcW w:w="2127" w:type="dxa"/>
            <w:vAlign w:val="center"/>
          </w:tcPr>
          <w:p>
            <w:pPr>
              <w:widowControl/>
              <w:jc w:val="center"/>
              <w:rPr>
                <w:rFonts w:ascii="宋体" w:hAnsi="宋体" w:cs="宋体"/>
                <w:kern w:val="0"/>
                <w:sz w:val="24"/>
              </w:rPr>
            </w:pPr>
            <w:r>
              <w:rPr>
                <w:rFonts w:hint="eastAsia" w:ascii="宋体" w:hAnsi="宋体" w:cs="宋体"/>
                <w:kern w:val="0"/>
                <w:sz w:val="24"/>
              </w:rPr>
              <w:t>材料（产品)名称</w:t>
            </w:r>
          </w:p>
        </w:tc>
        <w:tc>
          <w:tcPr>
            <w:tcW w:w="2171" w:type="dxa"/>
            <w:vAlign w:val="center"/>
          </w:tcPr>
          <w:p>
            <w:pPr>
              <w:widowControl/>
              <w:jc w:val="center"/>
              <w:rPr>
                <w:rFonts w:ascii="宋体" w:hAnsi="宋体" w:cs="宋体"/>
                <w:kern w:val="0"/>
                <w:sz w:val="24"/>
              </w:rPr>
            </w:pPr>
            <w:r>
              <w:rPr>
                <w:rFonts w:hint="eastAsia" w:ascii="宋体" w:hAnsi="宋体" w:cs="宋体"/>
                <w:kern w:val="0"/>
                <w:sz w:val="24"/>
              </w:rPr>
              <w:t>生产厂家</w:t>
            </w:r>
          </w:p>
        </w:tc>
        <w:tc>
          <w:tcPr>
            <w:tcW w:w="2142" w:type="dxa"/>
            <w:vAlign w:val="center"/>
          </w:tcPr>
          <w:p>
            <w:pPr>
              <w:widowControl/>
              <w:jc w:val="center"/>
              <w:rPr>
                <w:rFonts w:ascii="宋体" w:hAnsi="宋体" w:cs="宋体"/>
                <w:kern w:val="0"/>
                <w:sz w:val="24"/>
              </w:rPr>
            </w:pPr>
            <w:r>
              <w:rPr>
                <w:rFonts w:hint="eastAsia" w:ascii="宋体" w:hAnsi="宋体" w:cs="宋体"/>
                <w:kern w:val="0"/>
                <w:sz w:val="24"/>
              </w:rPr>
              <w:t>规格型号</w:t>
            </w:r>
          </w:p>
        </w:tc>
        <w:tc>
          <w:tcPr>
            <w:tcW w:w="2590" w:type="dxa"/>
            <w:vAlign w:val="center"/>
          </w:tcPr>
          <w:p>
            <w:pPr>
              <w:widowControl/>
              <w:jc w:val="center"/>
              <w:rPr>
                <w:rFonts w:ascii="宋体" w:hAnsi="宋体" w:cs="宋体"/>
                <w:kern w:val="0"/>
                <w:sz w:val="24"/>
              </w:rPr>
            </w:pPr>
            <w:r>
              <w:rPr>
                <w:rFonts w:hint="eastAsia" w:ascii="宋体" w:hAnsi="宋体" w:cs="宋体"/>
                <w:kern w:val="0"/>
                <w:sz w:val="24"/>
              </w:rPr>
              <w:t>合格证编号</w:t>
            </w:r>
          </w:p>
        </w:tc>
        <w:tc>
          <w:tcPr>
            <w:tcW w:w="2985" w:type="dxa"/>
            <w:vAlign w:val="center"/>
          </w:tcPr>
          <w:p>
            <w:pPr>
              <w:widowControl/>
              <w:jc w:val="center"/>
              <w:rPr>
                <w:rFonts w:ascii="宋体" w:hAnsi="宋体" w:cs="宋体"/>
                <w:kern w:val="0"/>
                <w:sz w:val="24"/>
              </w:rPr>
            </w:pPr>
            <w:r>
              <w:rPr>
                <w:rFonts w:hint="eastAsia" w:ascii="宋体" w:hAnsi="宋体" w:cs="宋体"/>
                <w:kern w:val="0"/>
                <w:sz w:val="24"/>
              </w:rPr>
              <w:t>复验结果</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2"/>
                <w:szCs w:val="22"/>
              </w:rPr>
            </w:pPr>
            <w:r>
              <w:rPr>
                <w:rFonts w:hint="eastAsia" w:ascii="宋体" w:hAnsi="宋体" w:cs="宋体"/>
                <w:kern w:val="0"/>
                <w:sz w:val="22"/>
                <w:szCs w:val="22"/>
              </w:rPr>
              <w:t>弹性体改性沥青防水卷材</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潍坊市东升防水材料有限公司</w:t>
            </w:r>
          </w:p>
        </w:tc>
        <w:tc>
          <w:tcPr>
            <w:tcW w:w="2142" w:type="dxa"/>
            <w:vAlign w:val="center"/>
          </w:tcPr>
          <w:p>
            <w:pPr>
              <w:widowControl/>
              <w:jc w:val="center"/>
              <w:rPr>
                <w:rFonts w:ascii="宋体" w:hAnsi="宋体" w:cs="宋体"/>
                <w:kern w:val="0"/>
                <w:sz w:val="22"/>
                <w:szCs w:val="22"/>
              </w:rPr>
            </w:pPr>
            <w:r>
              <w:rPr>
                <w:rFonts w:hint="eastAsia" w:ascii="宋体" w:hAnsi="宋体" w:cs="宋体"/>
                <w:kern w:val="0"/>
                <w:sz w:val="22"/>
                <w:szCs w:val="22"/>
              </w:rPr>
              <w:t>SBS Ⅱ PY PE PE 4 10</w:t>
            </w:r>
          </w:p>
        </w:tc>
        <w:tc>
          <w:tcPr>
            <w:tcW w:w="2590" w:type="dxa"/>
            <w:vAlign w:val="center"/>
          </w:tcPr>
          <w:p>
            <w:pPr>
              <w:widowControl/>
              <w:jc w:val="center"/>
              <w:rPr>
                <w:rFonts w:ascii="宋体" w:hAnsi="宋体" w:cs="宋体"/>
                <w:kern w:val="0"/>
                <w:sz w:val="22"/>
                <w:szCs w:val="22"/>
              </w:rPr>
            </w:pPr>
            <w:r>
              <w:rPr>
                <w:rFonts w:hint="eastAsia" w:ascii="宋体" w:hAnsi="宋体" w:cs="宋体"/>
                <w:kern w:val="0"/>
                <w:sz w:val="22"/>
                <w:szCs w:val="22"/>
              </w:rPr>
              <w:t>（鲁）XK08-005-02126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vAlign w:val="center"/>
          </w:tcPr>
          <w:p>
            <w:pPr>
              <w:widowControl/>
              <w:jc w:val="center"/>
              <w:rPr>
                <w:rFonts w:ascii="宋体" w:hAnsi="宋体" w:cs="宋体"/>
                <w:kern w:val="0"/>
                <w:sz w:val="22"/>
                <w:szCs w:val="22"/>
              </w:rPr>
            </w:pPr>
            <w:r>
              <w:rPr>
                <w:rFonts w:hint="eastAsia" w:ascii="宋体" w:hAnsi="宋体" w:cs="宋体"/>
                <w:kern w:val="0"/>
                <w:sz w:val="22"/>
                <w:szCs w:val="22"/>
              </w:rPr>
              <w:t>钢筋</w:t>
            </w:r>
          </w:p>
        </w:tc>
        <w:tc>
          <w:tcPr>
            <w:tcW w:w="2171"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6</w:t>
            </w:r>
          </w:p>
        </w:tc>
        <w:tc>
          <w:tcPr>
            <w:tcW w:w="2590"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MX371-01</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kern w:val="0"/>
                <w:sz w:val="24"/>
              </w:rPr>
            </w:pPr>
          </w:p>
        </w:tc>
        <w:tc>
          <w:tcPr>
            <w:tcW w:w="2127"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钢筋</w:t>
            </w:r>
          </w:p>
        </w:tc>
        <w:tc>
          <w:tcPr>
            <w:tcW w:w="2171" w:type="dxa"/>
            <w:tcBorders>
              <w:bottom w:val="single" w:color="auto" w:sz="4" w:space="0"/>
            </w:tcBorders>
            <w:vAlign w:val="center"/>
          </w:tcPr>
          <w:p>
            <w:pPr>
              <w:widowControl/>
              <w:jc w:val="center"/>
              <w:rPr>
                <w:rFonts w:hint="eastAsia" w:ascii="宋体" w:hAnsi="宋体" w:eastAsia="宋体" w:cs="宋体"/>
                <w:kern w:val="0"/>
                <w:sz w:val="22"/>
                <w:szCs w:val="22"/>
                <w:lang w:eastAsia="zh-CN"/>
              </w:rPr>
            </w:pPr>
            <w:r>
              <w:rPr>
                <w:rFonts w:hint="eastAsia" w:ascii="宋体" w:hAnsi="宋体" w:cs="宋体"/>
                <w:kern w:val="0"/>
                <w:sz w:val="22"/>
                <w:szCs w:val="22"/>
                <w:lang w:val="en-US" w:eastAsia="zh-CN"/>
              </w:rPr>
              <w:t>日钢</w:t>
            </w:r>
          </w:p>
        </w:tc>
        <w:tc>
          <w:tcPr>
            <w:tcW w:w="2142" w:type="dxa"/>
            <w:tcBorders>
              <w:bottom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8</w:t>
            </w:r>
          </w:p>
        </w:tc>
        <w:tc>
          <w:tcPr>
            <w:tcW w:w="2590" w:type="dxa"/>
            <w:tcBorders>
              <w:bottom w:val="single" w:color="auto" w:sz="4" w:space="0"/>
            </w:tcBorders>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C19206624</w:t>
            </w:r>
          </w:p>
        </w:tc>
        <w:tc>
          <w:tcPr>
            <w:tcW w:w="2985" w:type="dxa"/>
            <w:tcBorders>
              <w:bottom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top w:val="single" w:color="auto" w:sz="4" w:space="0"/>
            </w:tcBorders>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tcBorders>
              <w:top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日钢</w:t>
            </w:r>
          </w:p>
        </w:tc>
        <w:tc>
          <w:tcPr>
            <w:tcW w:w="2142" w:type="dxa"/>
            <w:tcBorders>
              <w:top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1</w:t>
            </w:r>
            <w:r>
              <w:rPr>
                <w:rFonts w:hint="eastAsia" w:ascii="宋体" w:hAnsi="宋体" w:cs="宋体"/>
                <w:kern w:val="0"/>
                <w:sz w:val="22"/>
                <w:szCs w:val="22"/>
                <w:lang w:val="en-US" w:eastAsia="zh-CN"/>
              </w:rPr>
              <w:t>0</w:t>
            </w:r>
          </w:p>
        </w:tc>
        <w:tc>
          <w:tcPr>
            <w:tcW w:w="2590" w:type="dxa"/>
            <w:tcBorders>
              <w:top w:val="single" w:color="auto" w:sz="4" w:space="0"/>
            </w:tcBorders>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C19306123</w:t>
            </w:r>
          </w:p>
        </w:tc>
        <w:tc>
          <w:tcPr>
            <w:tcW w:w="2985" w:type="dxa"/>
            <w:tcBorders>
              <w:top w:val="single" w:color="auto" w:sz="4" w:space="0"/>
            </w:tcBorders>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12</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05A4V592</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14</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05A4V336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16</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05A4V210</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lang w:val="en-US" w:eastAsia="zh-CN"/>
              </w:rPr>
              <w:t>18</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05B4V614</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2</w:t>
            </w:r>
            <w:r>
              <w:rPr>
                <w:rFonts w:hint="eastAsia" w:ascii="宋体" w:hAnsi="宋体" w:cs="宋体"/>
                <w:kern w:val="0"/>
                <w:sz w:val="22"/>
                <w:szCs w:val="22"/>
                <w:lang w:val="en-US" w:eastAsia="zh-CN"/>
              </w:rPr>
              <w:t>0</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05A4V191</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2</w:t>
            </w:r>
            <w:r>
              <w:rPr>
                <w:rFonts w:hint="eastAsia" w:ascii="宋体" w:hAnsi="宋体" w:cs="宋体"/>
                <w:kern w:val="0"/>
                <w:sz w:val="22"/>
                <w:szCs w:val="22"/>
                <w:lang w:val="en-US" w:eastAsia="zh-CN"/>
              </w:rPr>
              <w:t>2</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04A4V610</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w:t>
            </w:r>
            <w:r>
              <w:rPr>
                <w:rFonts w:hint="eastAsia" w:ascii="SJQY" w:hAnsi="SJQY" w:eastAsia="SJQY" w:cs="SJQY"/>
                <w:kern w:val="0"/>
                <w:sz w:val="22"/>
                <w:szCs w:val="22"/>
              </w:rPr>
              <w:t>C</w:t>
            </w:r>
            <w:r>
              <w:rPr>
                <w:rFonts w:hint="eastAsia" w:ascii="宋体" w:hAnsi="宋体" w:cs="宋体"/>
                <w:kern w:val="0"/>
                <w:sz w:val="22"/>
                <w:szCs w:val="22"/>
              </w:rPr>
              <w:t>2</w:t>
            </w:r>
            <w:r>
              <w:rPr>
                <w:rFonts w:hint="eastAsia" w:ascii="宋体" w:hAnsi="宋体" w:cs="宋体"/>
                <w:kern w:val="0"/>
                <w:sz w:val="22"/>
                <w:szCs w:val="22"/>
                <w:lang w:val="en-US" w:eastAsia="zh-CN"/>
              </w:rPr>
              <w:t>5</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4B4V1202</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rPr>
              <w:t>1</w:t>
            </w:r>
            <w:r>
              <w:rPr>
                <w:rFonts w:hint="eastAsia" w:ascii="宋体" w:hAnsi="宋体" w:cs="宋体"/>
                <w:kern w:val="0"/>
                <w:sz w:val="22"/>
                <w:szCs w:val="22"/>
                <w:lang w:val="en-US" w:eastAsia="zh-CN"/>
              </w:rPr>
              <w:t>2</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4A4V1028</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lang w:val="en-US" w:eastAsia="zh-CN"/>
              </w:rPr>
              <w:t>14</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05A4V25</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rPr>
              <w:t>山东省锦冠冶金科技有限公司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lang w:val="en-US" w:eastAsia="zh-CN"/>
              </w:rPr>
              <w:t>16</w:t>
            </w:r>
          </w:p>
        </w:tc>
        <w:tc>
          <w:tcPr>
            <w:tcW w:w="2590" w:type="dxa"/>
            <w:vAlign w:val="center"/>
          </w:tcPr>
          <w:p>
            <w:pPr>
              <w:widowControl/>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2"/>
                <w:szCs w:val="22"/>
                <w:lang w:val="en-US" w:eastAsia="zh-CN"/>
              </w:rPr>
              <w:t>K162290</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restart"/>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cs="宋体"/>
                <w:kern w:val="0"/>
                <w:sz w:val="22"/>
                <w:szCs w:val="22"/>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lang w:val="en-US" w:eastAsia="zh-CN"/>
              </w:rPr>
              <w:t>18</w:t>
            </w:r>
          </w:p>
        </w:tc>
        <w:tc>
          <w:tcPr>
            <w:tcW w:w="2590" w:type="dxa"/>
            <w:vAlign w:val="center"/>
          </w:tcPr>
          <w:p>
            <w:pPr>
              <w:widowControl/>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2"/>
                <w:szCs w:val="22"/>
                <w:lang w:val="en-US" w:eastAsia="zh-CN"/>
              </w:rPr>
              <w:t>04B4V993</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钢筋</w:t>
            </w:r>
          </w:p>
        </w:tc>
        <w:tc>
          <w:tcPr>
            <w:tcW w:w="2171" w:type="dxa"/>
            <w:vAlign w:val="center"/>
          </w:tcPr>
          <w:p>
            <w:pPr>
              <w:widowControl/>
              <w:jc w:val="center"/>
              <w:rPr>
                <w:rFonts w:ascii="宋体" w:hAnsi="宋体" w:eastAsia="宋体" w:cs="宋体"/>
                <w:kern w:val="0"/>
                <w:sz w:val="22"/>
                <w:szCs w:val="22"/>
                <w:lang w:val="en-US" w:eastAsia="zh-CN" w:bidi="ar-SA"/>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lang w:val="en-US" w:eastAsia="zh-CN"/>
              </w:rPr>
              <w:t>20</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05B4V316</w:t>
            </w:r>
          </w:p>
        </w:tc>
        <w:tc>
          <w:tcPr>
            <w:tcW w:w="2985" w:type="dxa"/>
            <w:vAlign w:val="center"/>
          </w:tcPr>
          <w:p>
            <w:pPr>
              <w:widowControl/>
              <w:jc w:val="center"/>
              <w:rPr>
                <w:rFonts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钢筋</w:t>
            </w:r>
          </w:p>
        </w:tc>
        <w:tc>
          <w:tcPr>
            <w:tcW w:w="2171"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lang w:val="en-US" w:eastAsia="zh-CN"/>
              </w:rPr>
              <w:t>22</w:t>
            </w:r>
          </w:p>
        </w:tc>
        <w:tc>
          <w:tcPr>
            <w:tcW w:w="2590" w:type="dxa"/>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05B4V404</w:t>
            </w:r>
          </w:p>
        </w:tc>
        <w:tc>
          <w:tcPr>
            <w:tcW w:w="2985" w:type="dxa"/>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钢筋</w:t>
            </w:r>
          </w:p>
        </w:tc>
        <w:tc>
          <w:tcPr>
            <w:tcW w:w="2171"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中新钢铁集团有限公司</w:t>
            </w:r>
          </w:p>
        </w:tc>
        <w:tc>
          <w:tcPr>
            <w:tcW w:w="2142" w:type="dxa"/>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cs="宋体"/>
                <w:kern w:val="0"/>
                <w:sz w:val="22"/>
                <w:szCs w:val="22"/>
              </w:rPr>
              <w:t>HRB400E</w:t>
            </w:r>
            <w:r>
              <w:rPr>
                <w:rFonts w:hint="eastAsia" w:ascii="SJQY" w:hAnsi="SJQY" w:eastAsia="SJQY" w:cs="SJQY"/>
                <w:kern w:val="0"/>
                <w:sz w:val="22"/>
                <w:szCs w:val="22"/>
              </w:rPr>
              <w:t>C</w:t>
            </w:r>
            <w:r>
              <w:rPr>
                <w:rFonts w:hint="eastAsia" w:ascii="宋体" w:hAnsi="宋体" w:cs="宋体"/>
                <w:kern w:val="0"/>
                <w:sz w:val="22"/>
                <w:szCs w:val="22"/>
                <w:lang w:val="en-US" w:eastAsia="zh-CN"/>
              </w:rPr>
              <w:t>25</w:t>
            </w:r>
          </w:p>
        </w:tc>
        <w:tc>
          <w:tcPr>
            <w:tcW w:w="2590" w:type="dxa"/>
            <w:vAlign w:val="center"/>
          </w:tcPr>
          <w:p>
            <w:pPr>
              <w:widowControl/>
              <w:jc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bidi="ar-SA"/>
              </w:rPr>
              <w:t>05B4V120</w:t>
            </w:r>
          </w:p>
        </w:tc>
        <w:tc>
          <w:tcPr>
            <w:tcW w:w="2985"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67" w:hRule="exact"/>
        </w:trPr>
        <w:tc>
          <w:tcPr>
            <w:tcW w:w="1582" w:type="dxa"/>
            <w:gridSpan w:val="2"/>
            <w:vMerge w:val="continue"/>
            <w:vAlign w:val="center"/>
          </w:tcPr>
          <w:p>
            <w:pPr>
              <w:widowControl/>
              <w:jc w:val="left"/>
              <w:rPr>
                <w:rFonts w:ascii="宋体" w:hAnsi="宋体" w:cs="宋体"/>
                <w:color w:val="000000"/>
                <w:kern w:val="0"/>
                <w:sz w:val="24"/>
              </w:rPr>
            </w:pPr>
          </w:p>
        </w:tc>
        <w:tc>
          <w:tcPr>
            <w:tcW w:w="2127" w:type="dxa"/>
            <w:vAlign w:val="center"/>
          </w:tcPr>
          <w:p>
            <w:pPr>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混凝土</w:t>
            </w:r>
          </w:p>
        </w:tc>
        <w:tc>
          <w:tcPr>
            <w:tcW w:w="2171"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日照市圣海建筑工程有限公司</w:t>
            </w:r>
          </w:p>
        </w:tc>
        <w:tc>
          <w:tcPr>
            <w:tcW w:w="2142"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C20、C30、C35</w:t>
            </w:r>
          </w:p>
        </w:tc>
        <w:tc>
          <w:tcPr>
            <w:tcW w:w="2590" w:type="dxa"/>
            <w:vAlign w:val="center"/>
          </w:tcPr>
          <w:p>
            <w:pPr>
              <w:widowControl/>
              <w:jc w:val="center"/>
              <w:rPr>
                <w:rFonts w:ascii="宋体" w:hAnsi="宋体" w:eastAsia="宋体" w:cs="宋体"/>
                <w:color w:val="000000"/>
                <w:kern w:val="0"/>
                <w:sz w:val="22"/>
                <w:szCs w:val="22"/>
                <w:lang w:val="en-US" w:eastAsia="zh-CN" w:bidi="ar-SA"/>
              </w:rPr>
            </w:pPr>
          </w:p>
        </w:tc>
        <w:tc>
          <w:tcPr>
            <w:tcW w:w="2985" w:type="dxa"/>
            <w:vAlign w:val="center"/>
          </w:tcPr>
          <w:p>
            <w:pPr>
              <w:widowControl/>
              <w:jc w:val="center"/>
              <w:rPr>
                <w:rFonts w:hint="eastAsia" w:ascii="宋体" w:hAnsi="宋体" w:eastAsia="宋体" w:cs="宋体"/>
                <w:kern w:val="0"/>
                <w:sz w:val="22"/>
                <w:szCs w:val="22"/>
                <w:lang w:val="en-US" w:eastAsia="zh-CN" w:bidi="ar-SA"/>
              </w:rPr>
            </w:pPr>
            <w:r>
              <w:rPr>
                <w:rFonts w:hint="eastAsia" w:ascii="宋体" w:hAnsi="宋体" w:cs="宋体"/>
                <w:kern w:val="0"/>
                <w:sz w:val="22"/>
                <w:szCs w:val="22"/>
              </w:rPr>
              <w:t>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117" w:hRule="atLeast"/>
        </w:trPr>
        <w:tc>
          <w:tcPr>
            <w:tcW w:w="1582" w:type="dxa"/>
            <w:gridSpan w:val="2"/>
            <w:vMerge w:val="restart"/>
            <w:vAlign w:val="center"/>
          </w:tcPr>
          <w:p>
            <w:pPr>
              <w:widowControl/>
              <w:jc w:val="center"/>
              <w:rPr>
                <w:rFonts w:ascii="宋体" w:hAnsi="宋体" w:cs="宋体"/>
                <w:color w:val="000000"/>
                <w:kern w:val="0"/>
                <w:sz w:val="24"/>
              </w:rPr>
            </w:pPr>
            <w:r>
              <w:rPr>
                <w:rFonts w:hint="eastAsia" w:ascii="宋体" w:hAnsi="宋体" w:cs="宋体"/>
                <w:color w:val="000000"/>
                <w:kern w:val="0"/>
                <w:sz w:val="24"/>
              </w:rPr>
              <w:t>实体质量信息</w:t>
            </w:r>
          </w:p>
        </w:tc>
        <w:tc>
          <w:tcPr>
            <w:tcW w:w="2127" w:type="dxa"/>
            <w:vAlign w:val="center"/>
          </w:tcPr>
          <w:p>
            <w:pPr>
              <w:widowControl/>
              <w:jc w:val="left"/>
              <w:rPr>
                <w:rFonts w:ascii="宋体" w:hAnsi="宋体" w:cs="宋体"/>
                <w:color w:val="000000"/>
                <w:kern w:val="0"/>
                <w:sz w:val="24"/>
              </w:rPr>
            </w:pPr>
            <w:r>
              <w:rPr>
                <w:rFonts w:hint="eastAsia" w:ascii="宋体" w:hAnsi="宋体" w:cs="宋体"/>
                <w:color w:val="000000"/>
                <w:kern w:val="0"/>
                <w:sz w:val="24"/>
              </w:rPr>
              <w:t>地基基础分部工程质量验收记录</w:t>
            </w:r>
          </w:p>
        </w:tc>
        <w:tc>
          <w:tcPr>
            <w:tcW w:w="9888" w:type="dxa"/>
            <w:gridSpan w:val="4"/>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验收时间、结论（附验收记录）</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#住宅楼地基验收时间:2019.</w:t>
            </w:r>
            <w:r>
              <w:rPr>
                <w:rFonts w:hint="eastAsia" w:ascii="宋体" w:hAnsi="宋体" w:cs="宋体"/>
                <w:color w:val="000000"/>
                <w:kern w:val="0"/>
                <w:sz w:val="24"/>
                <w:lang w:val="en-US" w:eastAsia="zh-CN"/>
              </w:rPr>
              <w:t>5.2</w:t>
            </w:r>
            <w:r>
              <w:rPr>
                <w:rFonts w:hint="eastAsia" w:ascii="宋体" w:hAnsi="宋体" w:cs="宋体"/>
                <w:color w:val="000000"/>
                <w:kern w:val="0"/>
                <w:sz w:val="24"/>
              </w:rPr>
              <w:t xml:space="preserve">     基础验收时间：2019.</w:t>
            </w:r>
            <w:r>
              <w:rPr>
                <w:rFonts w:hint="eastAsia" w:ascii="宋体" w:hAnsi="宋体" w:cs="宋体"/>
                <w:color w:val="000000"/>
                <w:kern w:val="0"/>
                <w:sz w:val="24"/>
                <w:lang w:val="en-US" w:eastAsia="zh-CN"/>
              </w:rPr>
              <w:t>5.29</w:t>
            </w:r>
            <w:r>
              <w:rPr>
                <w:rFonts w:hint="eastAsia" w:ascii="宋体" w:hAnsi="宋体" w:cs="宋体"/>
                <w:color w:val="000000"/>
                <w:kern w:val="0"/>
                <w:sz w:val="24"/>
              </w:rPr>
              <w:t xml:space="preserve">      </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 xml:space="preserve">  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主体结构分部工程质量验收记录</w:t>
            </w:r>
          </w:p>
        </w:tc>
        <w:tc>
          <w:tcPr>
            <w:tcW w:w="9888" w:type="dxa"/>
            <w:gridSpan w:val="4"/>
            <w:tcBorders>
              <w:bottom w:val="single" w:color="auto" w:sz="4" w:space="0"/>
            </w:tcBorders>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验收时间、结论（附验收记录）</w:t>
            </w:r>
          </w:p>
          <w:p>
            <w:p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rPr>
              <w:t>主体验收时间：2020.</w:t>
            </w:r>
            <w:r>
              <w:rPr>
                <w:rFonts w:hint="eastAsia" w:ascii="宋体" w:hAnsi="宋体" w:cs="宋体"/>
                <w:color w:val="000000"/>
                <w:kern w:val="0"/>
                <w:sz w:val="24"/>
                <w:lang w:val="en-US" w:eastAsia="zh-CN"/>
              </w:rPr>
              <w:t>4.14</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经验收合格（附验收记录）</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主体结构实体质量检测情况</w:t>
            </w:r>
          </w:p>
        </w:tc>
        <w:tc>
          <w:tcPr>
            <w:tcW w:w="9888" w:type="dxa"/>
            <w:gridSpan w:val="4"/>
            <w:tcBorders>
              <w:bottom w:val="single" w:color="auto" w:sz="4" w:space="0"/>
            </w:tcBorders>
            <w:vAlign w:val="center"/>
          </w:tcPr>
          <w:p>
            <w:pPr>
              <w:overflowPunct w:val="0"/>
              <w:topLinePunct/>
              <w:spacing w:line="560" w:lineRule="exact"/>
              <w:jc w:val="center"/>
              <w:rPr>
                <w:rFonts w:ascii="宋体" w:hAnsi="宋体" w:cs="宋体"/>
                <w:color w:val="000000"/>
                <w:kern w:val="0"/>
                <w:sz w:val="24"/>
              </w:rPr>
            </w:pPr>
            <w:r>
              <w:rPr>
                <w:rFonts w:hint="eastAsia" w:ascii="宋体" w:hAnsi="宋体" w:cs="宋体"/>
                <w:kern w:val="0"/>
                <w:sz w:val="24"/>
              </w:rPr>
              <w:t>检测项目，检测报</w:t>
            </w:r>
            <w:r>
              <w:rPr>
                <w:rFonts w:hint="eastAsia" w:ascii="宋体" w:hAnsi="宋体" w:cs="宋体"/>
                <w:color w:val="000000"/>
                <w:kern w:val="0"/>
                <w:sz w:val="24"/>
              </w:rPr>
              <w:t>告出具时间、结论</w:t>
            </w:r>
          </w:p>
          <w:p>
            <w:pPr>
              <w:numPr>
                <w:ilvl w:val="0"/>
                <w:numId w:val="1"/>
              </w:numPr>
              <w:overflowPunct w:val="0"/>
              <w:topLinePunct/>
              <w:spacing w:line="560" w:lineRule="exact"/>
              <w:jc w:val="center"/>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回弹 检测时间2019.11.26</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取芯 检测时间2019.11.29</w:t>
            </w:r>
          </w:p>
          <w:p>
            <w:pPr>
              <w:numPr>
                <w:ilvl w:val="0"/>
                <w:numId w:val="1"/>
              </w:numPr>
              <w:overflowPunct w:val="0"/>
              <w:topLinePunct/>
              <w:spacing w:line="560" w:lineRule="exact"/>
              <w:jc w:val="center"/>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 xml:space="preserve"> 钢筋保护层 检测时间2019.11.26</w:t>
            </w:r>
          </w:p>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lang w:val="en-US" w:eastAsia="zh-CN"/>
              </w:rPr>
              <w:t xml:space="preserve">              4.拉结筋锚固强度 检测时间2019.12.2       均已合格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优质工程创建情况</w:t>
            </w:r>
          </w:p>
        </w:tc>
        <w:tc>
          <w:tcPr>
            <w:tcW w:w="9888" w:type="dxa"/>
            <w:gridSpan w:val="4"/>
            <w:tcBorders>
              <w:bottom w:val="single" w:color="auto" w:sz="4" w:space="0"/>
            </w:tcBorders>
            <w:vAlign w:val="center"/>
          </w:tcPr>
          <w:p>
            <w:pPr>
              <w:overflowPunct w:val="0"/>
              <w:topLinePunct/>
              <w:spacing w:line="560" w:lineRule="exact"/>
              <w:jc w:val="center"/>
              <w:rPr>
                <w:rFonts w:ascii="宋体" w:hAnsi="宋体" w:cs="宋体"/>
                <w:color w:val="000000"/>
                <w:kern w:val="0"/>
                <w:sz w:val="24"/>
              </w:rPr>
            </w:pPr>
            <w:r>
              <w:rPr>
                <w:rFonts w:hint="eastAsia" w:ascii="宋体" w:hAnsi="宋体" w:cs="宋体"/>
                <w:color w:val="000000"/>
                <w:kern w:val="0"/>
                <w:sz w:val="24"/>
              </w:rPr>
              <w:t>奖项名称、获奖时间（附证明文件）</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建设过程中受到主管部门行政处罚和信用惩戒涉及的工程质量问题及整改情况</w:t>
            </w:r>
          </w:p>
        </w:tc>
        <w:tc>
          <w:tcPr>
            <w:tcW w:w="9888" w:type="dxa"/>
            <w:gridSpan w:val="4"/>
            <w:tcBorders>
              <w:bottom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20" w:hRule="atLeast"/>
        </w:trPr>
        <w:tc>
          <w:tcPr>
            <w:tcW w:w="1582" w:type="dxa"/>
            <w:gridSpan w:val="2"/>
            <w:vMerge w:val="continue"/>
            <w:vAlign w:val="center"/>
          </w:tcPr>
          <w:p>
            <w:pPr>
              <w:widowControl/>
              <w:jc w:val="left"/>
              <w:rPr>
                <w:rFonts w:ascii="宋体" w:hAnsi="宋体" w:cs="宋体"/>
                <w:color w:val="000000"/>
                <w:kern w:val="0"/>
                <w:sz w:val="24"/>
              </w:rPr>
            </w:pPr>
          </w:p>
        </w:tc>
        <w:tc>
          <w:tcPr>
            <w:tcW w:w="2127" w:type="dxa"/>
            <w:tcBorders>
              <w:bottom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保修期内发生工程质量责任事故、反复性群体性工程质量缺陷问题投诉的整修处理情况</w:t>
            </w:r>
          </w:p>
        </w:tc>
        <w:tc>
          <w:tcPr>
            <w:tcW w:w="9888" w:type="dxa"/>
            <w:gridSpan w:val="4"/>
            <w:tcBorders>
              <w:bottom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无</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1374" w:hRule="atLeast"/>
        </w:trPr>
        <w:tc>
          <w:tcPr>
            <w:tcW w:w="578" w:type="dxa"/>
            <w:tcBorders>
              <w:right w:val="single" w:color="auto" w:sz="4" w:space="0"/>
            </w:tcBorders>
            <w:vAlign w:val="center"/>
          </w:tcPr>
          <w:p>
            <w:pPr>
              <w:widowControl/>
              <w:jc w:val="left"/>
              <w:rPr>
                <w:rFonts w:ascii="宋体" w:hAnsi="宋体" w:cs="宋体"/>
                <w:color w:val="000000"/>
                <w:kern w:val="0"/>
                <w:sz w:val="24"/>
              </w:rPr>
            </w:pPr>
            <w:bookmarkStart w:id="0" w:name="_GoBack"/>
            <w:bookmarkEnd w:id="0"/>
            <w:r>
              <w:rPr>
                <w:rFonts w:hint="eastAsia" w:ascii="宋体" w:hAnsi="宋体" w:cs="宋体"/>
                <w:color w:val="000000"/>
                <w:kern w:val="0"/>
                <w:sz w:val="24"/>
              </w:rPr>
              <w:t>备注</w:t>
            </w:r>
          </w:p>
        </w:tc>
        <w:tc>
          <w:tcPr>
            <w:tcW w:w="13019" w:type="dxa"/>
            <w:gridSpan w:val="6"/>
            <w:tcBorders>
              <w:lef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根据《日照市住宅工程质量信息公示实施方案》，建设单位通过单位官方网站、微信公众号、向业主发放文书资料等方式对住宅工程质量信息进行公示，同时须向建设主管部门提报。质量信息公示应按规定分阶段进行，提倡将有关书面材料的原价扫描件作为附件公示，建议各单位将质量信息利用软件制作成二维码进行提报公示。</w:t>
            </w:r>
          </w:p>
        </w:tc>
      </w:tr>
    </w:tbl>
    <w:p>
      <w:pPr>
        <w:overflowPunct w:val="0"/>
        <w:topLinePunct/>
        <w:spacing w:line="400" w:lineRule="exact"/>
        <w:rPr>
          <w:rFonts w:ascii="黑体" w:eastAsia="黑体"/>
          <w:sz w:val="32"/>
          <w:szCs w:val="32"/>
        </w:rPr>
      </w:pPr>
    </w:p>
    <w:p>
      <w:pPr>
        <w:overflowPunct w:val="0"/>
        <w:topLinePunct/>
        <w:spacing w:line="200" w:lineRule="exact"/>
        <w:rPr>
          <w:rFonts w:ascii="仿宋_GB2312" w:eastAsia="仿宋_GB2312"/>
          <w:sz w:val="32"/>
          <w:szCs w:val="32"/>
        </w:rPr>
      </w:pPr>
    </w:p>
    <w:p>
      <w:r>
        <w:drawing>
          <wp:anchor distT="0" distB="0" distL="114935" distR="114935" simplePos="0" relativeHeight="251663360" behindDoc="1" locked="0" layoutInCell="1" allowOverlap="1">
            <wp:simplePos x="0" y="0"/>
            <wp:positionH relativeFrom="column">
              <wp:posOffset>-123190</wp:posOffset>
            </wp:positionH>
            <wp:positionV relativeFrom="paragraph">
              <wp:posOffset>57785</wp:posOffset>
            </wp:positionV>
            <wp:extent cx="4319905" cy="5760085"/>
            <wp:effectExtent l="0" t="0" r="0" b="12065"/>
            <wp:wrapTight wrapText="bothSides">
              <wp:wrapPolygon>
                <wp:start x="0" y="0"/>
                <wp:lineTo x="0" y="21502"/>
                <wp:lineTo x="21527" y="21502"/>
                <wp:lineTo x="21527" y="0"/>
                <wp:lineTo x="0" y="0"/>
              </wp:wrapPolygon>
            </wp:wrapTight>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58240" behindDoc="1" locked="0" layoutInCell="1" allowOverlap="1">
            <wp:simplePos x="0" y="0"/>
            <wp:positionH relativeFrom="column">
              <wp:posOffset>4467225</wp:posOffset>
            </wp:positionH>
            <wp:positionV relativeFrom="paragraph">
              <wp:posOffset>33020</wp:posOffset>
            </wp:positionV>
            <wp:extent cx="4319905" cy="5760085"/>
            <wp:effectExtent l="0" t="0" r="4445" b="12065"/>
            <wp:wrapTight wrapText="bothSides">
              <wp:wrapPolygon>
                <wp:start x="0" y="0"/>
                <wp:lineTo x="0" y="21502"/>
                <wp:lineTo x="21527" y="21502"/>
                <wp:lineTo x="21527" y="0"/>
                <wp:lineTo x="0" y="0"/>
              </wp:wrapPolygon>
            </wp:wrapTight>
            <wp:docPr id="5" name="图片 1"/>
            <wp:cNvGraphicFramePr/>
            <a:graphic xmlns:a="http://schemas.openxmlformats.org/drawingml/2006/main">
              <a:graphicData uri="http://schemas.openxmlformats.org/drawingml/2006/picture">
                <pic:pic xmlns:pic="http://schemas.openxmlformats.org/drawingml/2006/picture">
                  <pic:nvPicPr>
                    <pic:cNvPr id="5" name="图片 1"/>
                    <pic:cNvPicPr/>
                  </pic:nvPicPr>
                  <pic:blipFill>
                    <a:blip r:embed="rId5"/>
                    <a:stretch>
                      <a:fillRect/>
                    </a:stretch>
                  </pic:blipFill>
                  <pic:spPr>
                    <a:xfrm>
                      <a:off x="0" y="0"/>
                      <a:ext cx="4319905" cy="5760085"/>
                    </a:xfrm>
                    <a:prstGeom prst="rect">
                      <a:avLst/>
                    </a:prstGeom>
                    <a:noFill/>
                    <a:ln>
                      <a:noFill/>
                    </a:ln>
                  </pic:spPr>
                </pic:pic>
              </a:graphicData>
            </a:graphic>
          </wp:anchor>
        </w:drawing>
      </w:r>
    </w:p>
    <w:p/>
    <w:p/>
    <w:p/>
    <w:p/>
    <w:p/>
    <w:p/>
    <w:p/>
    <w:p/>
    <w:p/>
    <w:p/>
    <w:p/>
    <w:p/>
    <w:p/>
    <w:p/>
    <w:p/>
    <w:p/>
    <w:p/>
    <w:p/>
    <w:p/>
    <w:p/>
    <w:p/>
    <w:p/>
    <w:p/>
    <w:p/>
    <w:p/>
    <w:p/>
    <w:p/>
    <w:p/>
    <w:p>
      <w:r>
        <w:drawing>
          <wp:anchor distT="0" distB="0" distL="114935" distR="114935" simplePos="0" relativeHeight="251660288" behindDoc="1" locked="0" layoutInCell="1" allowOverlap="1">
            <wp:simplePos x="0" y="0"/>
            <wp:positionH relativeFrom="column">
              <wp:posOffset>4466590</wp:posOffset>
            </wp:positionH>
            <wp:positionV relativeFrom="paragraph">
              <wp:posOffset>4445</wp:posOffset>
            </wp:positionV>
            <wp:extent cx="4319905" cy="5760085"/>
            <wp:effectExtent l="0" t="0" r="0" b="12065"/>
            <wp:wrapTight wrapText="bothSides">
              <wp:wrapPolygon>
                <wp:start x="0" y="0"/>
                <wp:lineTo x="0" y="21502"/>
                <wp:lineTo x="21527" y="21502"/>
                <wp:lineTo x="21527" y="0"/>
                <wp:lineTo x="0" y="0"/>
              </wp:wrapPolygon>
            </wp:wrapTight>
            <wp:docPr id="7" name="图片 3"/>
            <wp:cNvGraphicFramePr/>
            <a:graphic xmlns:a="http://schemas.openxmlformats.org/drawingml/2006/main">
              <a:graphicData uri="http://schemas.openxmlformats.org/drawingml/2006/picture">
                <pic:pic xmlns:pic="http://schemas.openxmlformats.org/drawingml/2006/picture">
                  <pic:nvPicPr>
                    <pic:cNvPr id="7" name="图片 3"/>
                    <pic:cNvPicPr/>
                  </pic:nvPicPr>
                  <pic:blipFill>
                    <a:blip r:embed="rId6"/>
                    <a:stretch>
                      <a:fillRect/>
                    </a:stretch>
                  </pic:blipFill>
                  <pic:spPr>
                    <a:xfrm>
                      <a:off x="0" y="0"/>
                      <a:ext cx="4319905" cy="5760085"/>
                    </a:xfrm>
                    <a:prstGeom prst="rect">
                      <a:avLst/>
                    </a:prstGeom>
                    <a:noFill/>
                    <a:ln>
                      <a:noFill/>
                    </a:ln>
                  </pic:spPr>
                </pic:pic>
              </a:graphicData>
            </a:graphic>
          </wp:anchor>
        </w:drawing>
      </w:r>
      <w:r>
        <w:drawing>
          <wp:anchor distT="0" distB="0" distL="114935" distR="114935" simplePos="0" relativeHeight="251659264" behindDoc="1" locked="0" layoutInCell="1" allowOverlap="1">
            <wp:simplePos x="0" y="0"/>
            <wp:positionH relativeFrom="column">
              <wp:posOffset>-247650</wp:posOffset>
            </wp:positionH>
            <wp:positionV relativeFrom="paragraph">
              <wp:posOffset>28575</wp:posOffset>
            </wp:positionV>
            <wp:extent cx="4319905" cy="5760085"/>
            <wp:effectExtent l="0" t="0" r="0" b="12065"/>
            <wp:wrapTight wrapText="bothSides">
              <wp:wrapPolygon>
                <wp:start x="0" y="0"/>
                <wp:lineTo x="0" y="21502"/>
                <wp:lineTo x="21527" y="21502"/>
                <wp:lineTo x="21527" y="0"/>
                <wp:lineTo x="0" y="0"/>
              </wp:wrapPolygon>
            </wp:wrapTight>
            <wp:docPr id="6" name="图片 2"/>
            <wp:cNvGraphicFramePr/>
            <a:graphic xmlns:a="http://schemas.openxmlformats.org/drawingml/2006/main">
              <a:graphicData uri="http://schemas.openxmlformats.org/drawingml/2006/picture">
                <pic:pic xmlns:pic="http://schemas.openxmlformats.org/drawingml/2006/picture">
                  <pic:nvPicPr>
                    <pic:cNvPr id="6" name="图片 2"/>
                    <pic:cNvPicPr/>
                  </pic:nvPicPr>
                  <pic:blipFill>
                    <a:blip r:embed="rId7"/>
                    <a:stretch>
                      <a:fillRect/>
                    </a:stretch>
                  </pic:blipFill>
                  <pic:spPr>
                    <a:xfrm>
                      <a:off x="0" y="0"/>
                      <a:ext cx="4319905" cy="5760085"/>
                    </a:xfrm>
                    <a:prstGeom prst="rect">
                      <a:avLst/>
                    </a:prstGeom>
                    <a:noFill/>
                    <a:ln>
                      <a:noFill/>
                    </a:ln>
                  </pic:spPr>
                </pic:pic>
              </a:graphicData>
            </a:graphic>
          </wp:anchor>
        </w:drawing>
      </w:r>
    </w:p>
    <w:p>
      <w:r>
        <w:drawing>
          <wp:anchor distT="0" distB="0" distL="114935" distR="114935" simplePos="0" relativeHeight="251662336" behindDoc="1" locked="0" layoutInCell="1" allowOverlap="1">
            <wp:simplePos x="0" y="0"/>
            <wp:positionH relativeFrom="column">
              <wp:posOffset>4276725</wp:posOffset>
            </wp:positionH>
            <wp:positionV relativeFrom="paragraph">
              <wp:posOffset>64770</wp:posOffset>
            </wp:positionV>
            <wp:extent cx="4319905" cy="6092190"/>
            <wp:effectExtent l="0" t="0" r="0" b="0"/>
            <wp:wrapTight wrapText="bothSides">
              <wp:wrapPolygon>
                <wp:start x="0" y="0"/>
                <wp:lineTo x="0" y="21546"/>
                <wp:lineTo x="21527" y="21546"/>
                <wp:lineTo x="21527" y="0"/>
                <wp:lineTo x="0" y="0"/>
              </wp:wrapPolygon>
            </wp:wrapTight>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8"/>
                    <a:stretch>
                      <a:fillRect/>
                    </a:stretch>
                  </pic:blipFill>
                  <pic:spPr>
                    <a:xfrm>
                      <a:off x="0" y="0"/>
                      <a:ext cx="4319905" cy="6092190"/>
                    </a:xfrm>
                    <a:prstGeom prst="rect">
                      <a:avLst/>
                    </a:prstGeom>
                    <a:noFill/>
                    <a:ln>
                      <a:noFill/>
                    </a:ln>
                  </pic:spPr>
                </pic:pic>
              </a:graphicData>
            </a:graphic>
          </wp:anchor>
        </w:drawing>
      </w:r>
      <w:r>
        <w:drawing>
          <wp:anchor distT="0" distB="0" distL="114935" distR="114935" simplePos="0" relativeHeight="251661312" behindDoc="1" locked="0" layoutInCell="1" allowOverlap="1">
            <wp:simplePos x="0" y="0"/>
            <wp:positionH relativeFrom="column">
              <wp:posOffset>-295275</wp:posOffset>
            </wp:positionH>
            <wp:positionV relativeFrom="paragraph">
              <wp:posOffset>76200</wp:posOffset>
            </wp:positionV>
            <wp:extent cx="4319905" cy="6087745"/>
            <wp:effectExtent l="0" t="0" r="42545" b="46355"/>
            <wp:wrapTight wrapText="bothSides">
              <wp:wrapPolygon>
                <wp:start x="0" y="0"/>
                <wp:lineTo x="0" y="21562"/>
                <wp:lineTo x="21527" y="21562"/>
                <wp:lineTo x="21527" y="0"/>
                <wp:lineTo x="0" y="0"/>
              </wp:wrapPolygon>
            </wp:wrapTight>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9"/>
                    <a:stretch>
                      <a:fillRect/>
                    </a:stretch>
                  </pic:blipFill>
                  <pic:spPr>
                    <a:xfrm>
                      <a:off x="0" y="0"/>
                      <a:ext cx="4319905" cy="6087745"/>
                    </a:xfrm>
                    <a:prstGeom prst="rect">
                      <a:avLst/>
                    </a:prstGeom>
                    <a:noFill/>
                    <a:ln>
                      <a:noFill/>
                    </a:ln>
                  </pic:spPr>
                </pic:pic>
              </a:graphicData>
            </a:graphic>
          </wp:anchor>
        </w:drawing>
      </w:r>
    </w:p>
    <w:sectPr>
      <w:pgSz w:w="16838" w:h="11906" w:orient="landscape"/>
      <w:pgMar w:top="1304" w:right="2098" w:bottom="1474" w:left="1985"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2" w:usb3="00000000" w:csb0="00040001" w:csb1="00000000"/>
  </w:font>
  <w:font w:name="SJQY">
    <w:altName w:val="宋体"/>
    <w:panose1 w:val="02010600030101010101"/>
    <w:charset w:val="86"/>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82B599"/>
    <w:multiLevelType w:val="singleLevel"/>
    <w:tmpl w:val="7582B59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A18"/>
    <w:rsid w:val="00947A18"/>
    <w:rsid w:val="0097377F"/>
    <w:rsid w:val="00EB2A9C"/>
    <w:rsid w:val="01F52233"/>
    <w:rsid w:val="0A5D7ABA"/>
    <w:rsid w:val="201543BB"/>
    <w:rsid w:val="202A7C4E"/>
    <w:rsid w:val="29FC48A8"/>
    <w:rsid w:val="2E80579E"/>
    <w:rsid w:val="3DB3638E"/>
    <w:rsid w:val="41931EA3"/>
    <w:rsid w:val="482D4C2E"/>
    <w:rsid w:val="575942DA"/>
    <w:rsid w:val="6B787454"/>
    <w:rsid w:val="7EA83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5"/>
    <w:qFormat/>
    <w:uiPriority w:val="99"/>
    <w:pPr>
      <w:spacing w:after="120"/>
    </w:pPr>
  </w:style>
  <w:style w:type="character" w:customStyle="1" w:styleId="5">
    <w:name w:val="正文文本 Char"/>
    <w:link w:val="2"/>
    <w:qFormat/>
    <w:uiPriority w:val="99"/>
    <w:rPr>
      <w:kern w:val="2"/>
      <w:sz w:val="21"/>
      <w:szCs w:val="24"/>
    </w:rPr>
  </w:style>
  <w:style w:type="character" w:customStyle="1" w:styleId="6">
    <w:name w:val="正文文本 字符"/>
    <w:basedOn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336</Words>
  <Characters>1921</Characters>
  <Lines>16</Lines>
  <Paragraphs>4</Paragraphs>
  <TotalTime>7</TotalTime>
  <ScaleCrop>false</ScaleCrop>
  <LinksUpToDate>false</LinksUpToDate>
  <CharactersWithSpaces>2253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2020-12-31T04:13:00Z</dcterms:created>
  <dc:creator>Administrator</dc:creator>
  <cp:lastModifiedBy>滕辉</cp:lastModifiedBy>
  <dcterms:modified xsi:type="dcterms:W3CDTF">2021-01-18T05:12:27Z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