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关于修订《山东海洋文化旅游发展集团有限公司合同分类编号管理办法》的通知</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各部室、子公司：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现对《山东海洋文化旅游发展集团有限公司合同分类编号管理办法》（海洋文旅字〔</w:t>
      </w:r>
      <w:r>
        <w:rPr>
          <w:rFonts w:hint="default" w:ascii="Times New Roman" w:hAnsi="Times New Roman" w:eastAsia="仿宋_GB2312" w:cs="Times New Roman"/>
          <w:sz w:val="32"/>
          <w:szCs w:val="32"/>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58</w:t>
      </w:r>
      <w:r>
        <w:rPr>
          <w:rFonts w:hint="eastAsia" w:ascii="仿宋_GB2312" w:hAnsi="仿宋_GB2312" w:eastAsia="仿宋_GB2312" w:cs="仿宋_GB2312"/>
          <w:sz w:val="32"/>
          <w:szCs w:val="32"/>
          <w:lang w:val="en-US" w:eastAsia="zh-CN"/>
        </w:rPr>
        <w:t>号）第六条第二款中的二级编号及“劳动合同”三级编号规则予以修订，具体修订如下：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2.二级编号：合同负责部门名称拼音缩写规则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一般取部门名称前两个字的拼音首写大写字母组合而成。但日照圣海供应链管理有限公司生产部、市场部的二级编号分别为SCA、SCB。</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三级编号：合同类型拼音缩写规则，如下图所示：</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28"/>
        <w:gridCol w:w="3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8" w:type="dxa"/>
            <w:vAlign w:val="center"/>
          </w:tcPr>
          <w:p>
            <w:pPr>
              <w:keepNext w:val="0"/>
              <w:keepLines w:val="0"/>
              <w:widowControl/>
              <w:suppressLineNumbers w:val="0"/>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合同类型</w:t>
            </w:r>
          </w:p>
        </w:tc>
        <w:tc>
          <w:tcPr>
            <w:tcW w:w="353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拼音缩写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c>
          <w:tcPr>
            <w:tcW w:w="353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yellow"/>
                <w:vertAlign w:val="baseline"/>
                <w:lang w:val="en-US" w:eastAsia="zh-CN"/>
              </w:rPr>
            </w:pPr>
            <w:bookmarkStart w:id="0" w:name="_GoBack"/>
            <w:r>
              <w:rPr>
                <w:rFonts w:hint="eastAsia" w:ascii="仿宋_GB2312" w:hAnsi="仿宋_GB2312" w:eastAsia="仿宋_GB2312" w:cs="仿宋_GB2312"/>
                <w:sz w:val="32"/>
                <w:szCs w:val="32"/>
                <w:highlight w:val="yellow"/>
                <w:lang w:val="en-US" w:eastAsia="zh-CN"/>
              </w:rPr>
              <w:t>用工类合同</w:t>
            </w:r>
          </w:p>
        </w:tc>
        <w:tc>
          <w:tcPr>
            <w:tcW w:w="353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yellow"/>
                <w:vertAlign w:val="baseline"/>
                <w:lang w:val="en-US" w:eastAsia="zh-CN"/>
              </w:rPr>
            </w:pPr>
            <w:r>
              <w:rPr>
                <w:rFonts w:hint="eastAsia" w:ascii="仿宋_GB2312" w:hAnsi="仿宋_GB2312" w:eastAsia="仿宋_GB2312" w:cs="仿宋_GB2312"/>
                <w:sz w:val="32"/>
                <w:szCs w:val="32"/>
                <w:highlight w:val="yellow"/>
                <w:vertAlign w:val="baseline"/>
                <w:lang w:val="en-US" w:eastAsia="zh-CN"/>
              </w:rPr>
              <w:t>YG</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c>
          <w:tcPr>
            <w:tcW w:w="353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附件：山东海洋文化旅游发展集团有限公司合同分类编号管理办法（修订稿）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山东海洋文化旅游发展集团有限公司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 xml:space="preserve">                    2021</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Times New Roman"/>
          <w:sz w:val="32"/>
          <w:szCs w:val="32"/>
          <w:lang w:val="en-US" w:eastAsia="zh-CN"/>
        </w:rPr>
        <w:t>10</w:t>
      </w:r>
      <w:r>
        <w:rPr>
          <w:rFonts w:hint="eastAsia" w:ascii="仿宋_GB2312" w:hAnsi="仿宋_GB2312" w:eastAsia="仿宋_GB2312" w:cs="仿宋_GB2312"/>
          <w:sz w:val="32"/>
          <w:szCs w:val="32"/>
          <w:lang w:val="en-US" w:eastAsia="zh-CN"/>
        </w:rPr>
        <w:t>月</w:t>
      </w:r>
      <w:r>
        <w:rPr>
          <w:rFonts w:hint="eastAsia" w:ascii="Times New Roman" w:hAnsi="Times New Roman" w:eastAsia="仿宋_GB2312" w:cs="Times New Roman"/>
          <w:sz w:val="32"/>
          <w:szCs w:val="32"/>
          <w:lang w:val="en-US" w:eastAsia="zh-CN"/>
        </w:rPr>
        <w:t>15</w:t>
      </w:r>
      <w:r>
        <w:rPr>
          <w:rFonts w:hint="eastAsia" w:ascii="仿宋_GB2312" w:hAnsi="仿宋_GB2312" w:eastAsia="仿宋_GB2312" w:cs="仿宋_GB2312"/>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r>
        <w:br w:type="page"/>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bCs/>
          <w:color w:val="000000"/>
          <w:kern w:val="0"/>
          <w:sz w:val="44"/>
          <w:szCs w:val="44"/>
          <w:lang w:val="en-US" w:eastAsia="zh-CN"/>
        </w:rPr>
        <w:t>附件：</w:t>
      </w:r>
      <w:r>
        <w:rPr>
          <w:rFonts w:ascii="Times New Roman" w:hAnsi="Times New Roman" w:eastAsia="方正小标宋简体"/>
          <w:bCs/>
          <w:color w:val="000000"/>
          <w:kern w:val="0"/>
          <w:sz w:val="44"/>
          <w:szCs w:val="44"/>
        </w:rPr>
        <w:t>山东海洋文化旅游发展</w:t>
      </w:r>
      <w:r>
        <w:rPr>
          <w:rFonts w:hint="eastAsia" w:ascii="Times New Roman" w:hAnsi="Times New Roman" w:eastAsia="方正小标宋简体"/>
          <w:bCs/>
          <w:color w:val="000000"/>
          <w:kern w:val="0"/>
          <w:sz w:val="44"/>
          <w:szCs w:val="44"/>
          <w:lang w:eastAsia="zh-CN"/>
        </w:rPr>
        <w:t>集团</w:t>
      </w:r>
      <w:r>
        <w:rPr>
          <w:rFonts w:ascii="Times New Roman" w:hAnsi="Times New Roman" w:eastAsia="方正小标宋简体"/>
          <w:bCs/>
          <w:color w:val="000000"/>
          <w:kern w:val="0"/>
          <w:sz w:val="44"/>
          <w:szCs w:val="44"/>
        </w:rPr>
        <w:t>有限公司</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合同分类编号管理办法（修订稿）</w:t>
      </w:r>
    </w:p>
    <w:p>
      <w:pPr>
        <w:keepNext w:val="0"/>
        <w:keepLines w:val="0"/>
        <w:pageBreakBefore w:val="0"/>
        <w:kinsoku/>
        <w:wordWrap/>
        <w:overflowPunct/>
        <w:topLinePunct w:val="0"/>
        <w:autoSpaceDE/>
        <w:autoSpaceDN/>
        <w:bidi w:val="0"/>
        <w:adjustRightInd/>
        <w:snapToGrid/>
        <w:spacing w:line="500" w:lineRule="exact"/>
        <w:jc w:val="center"/>
        <w:textAlignment w:val="auto"/>
        <w:rPr>
          <w:rFonts w:ascii="Times New Roman" w:hAnsi="Times New Roman" w:eastAsia="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黑体" w:hAnsi="黑体" w:eastAsia="黑体" w:cs="黑体"/>
          <w:sz w:val="32"/>
          <w:szCs w:val="32"/>
          <w:lang w:val="en-US" w:eastAsia="zh-CN"/>
        </w:rPr>
        <w:t>第一条</w:t>
      </w:r>
      <w:r>
        <w:rPr>
          <w:rFonts w:hint="default"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highlight w:val="none"/>
          <w:lang w:val="en-US" w:eastAsia="zh-CN"/>
        </w:rPr>
        <w:t>为加强</w:t>
      </w:r>
      <w:r>
        <w:rPr>
          <w:rFonts w:hint="eastAsia" w:ascii="仿宋_GB2312" w:hAnsi="仿宋_GB2312" w:eastAsia="仿宋_GB2312" w:cs="仿宋_GB2312"/>
          <w:sz w:val="32"/>
          <w:szCs w:val="32"/>
          <w:highlight w:val="none"/>
          <w:lang w:val="en-US" w:eastAsia="zh-CN"/>
        </w:rPr>
        <w:t>集团</w:t>
      </w:r>
      <w:r>
        <w:rPr>
          <w:rFonts w:hint="default" w:ascii="仿宋_GB2312" w:hAnsi="仿宋_GB2312" w:eastAsia="仿宋_GB2312" w:cs="仿宋_GB2312"/>
          <w:sz w:val="32"/>
          <w:szCs w:val="32"/>
          <w:highlight w:val="none"/>
          <w:lang w:val="en-US" w:eastAsia="zh-CN"/>
        </w:rPr>
        <w:t>合同标准化</w:t>
      </w:r>
      <w:r>
        <w:rPr>
          <w:rFonts w:hint="eastAsia" w:ascii="仿宋_GB2312" w:hAnsi="仿宋_GB2312" w:eastAsia="仿宋_GB2312" w:cs="仿宋_GB2312"/>
          <w:sz w:val="32"/>
          <w:szCs w:val="32"/>
          <w:highlight w:val="none"/>
          <w:lang w:val="en-US" w:eastAsia="zh-CN"/>
        </w:rPr>
        <w:t>、规范化、科学化</w:t>
      </w:r>
      <w:r>
        <w:rPr>
          <w:rFonts w:hint="default" w:ascii="仿宋_GB2312" w:hAnsi="仿宋_GB2312" w:eastAsia="仿宋_GB2312" w:cs="仿宋_GB2312"/>
          <w:sz w:val="32"/>
          <w:szCs w:val="32"/>
          <w:highlight w:val="none"/>
          <w:lang w:val="en-US" w:eastAsia="zh-CN"/>
        </w:rPr>
        <w:t>管理，明确相关部门在合同</w:t>
      </w:r>
      <w:r>
        <w:rPr>
          <w:rFonts w:hint="eastAsia" w:ascii="仿宋_GB2312" w:hAnsi="仿宋_GB2312" w:eastAsia="仿宋_GB2312" w:cs="仿宋_GB2312"/>
          <w:sz w:val="32"/>
          <w:szCs w:val="32"/>
          <w:highlight w:val="none"/>
          <w:lang w:val="en-US" w:eastAsia="zh-CN"/>
        </w:rPr>
        <w:t>编号</w:t>
      </w:r>
      <w:r>
        <w:rPr>
          <w:rFonts w:hint="default" w:ascii="仿宋_GB2312" w:hAnsi="仿宋_GB2312" w:eastAsia="仿宋_GB2312" w:cs="仿宋_GB2312"/>
          <w:sz w:val="32"/>
          <w:szCs w:val="32"/>
          <w:highlight w:val="none"/>
          <w:lang w:val="en-US" w:eastAsia="zh-CN"/>
        </w:rPr>
        <w:t>环节中的职责</w:t>
      </w:r>
      <w:r>
        <w:rPr>
          <w:rFonts w:hint="eastAsia" w:ascii="仿宋_GB2312" w:hAnsi="仿宋_GB2312" w:eastAsia="仿宋_GB2312" w:cs="仿宋_GB2312"/>
          <w:sz w:val="32"/>
          <w:szCs w:val="32"/>
          <w:highlight w:val="none"/>
          <w:lang w:val="en-US" w:eastAsia="zh-CN"/>
        </w:rPr>
        <w:t>，实现合同编号唯一性，进一步规范合同档案管理工作，</w:t>
      </w:r>
      <w:r>
        <w:rPr>
          <w:rFonts w:hint="default" w:ascii="仿宋_GB2312" w:hAnsi="仿宋_GB2312" w:eastAsia="仿宋_GB2312" w:cs="仿宋_GB2312"/>
          <w:sz w:val="32"/>
          <w:szCs w:val="32"/>
          <w:highlight w:val="none"/>
          <w:lang w:val="en-US" w:eastAsia="zh-CN"/>
        </w:rPr>
        <w:t>特</w:t>
      </w:r>
      <w:r>
        <w:rPr>
          <w:rFonts w:hint="eastAsia" w:ascii="仿宋_GB2312" w:hAnsi="仿宋_GB2312" w:eastAsia="仿宋_GB2312" w:cs="仿宋_GB2312"/>
          <w:sz w:val="32"/>
          <w:szCs w:val="32"/>
          <w:highlight w:val="none"/>
          <w:lang w:val="en-US" w:eastAsia="zh-CN"/>
        </w:rPr>
        <w:t>制定本办法</w:t>
      </w:r>
      <w:r>
        <w:rPr>
          <w:rFonts w:hint="default"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val="en-US" w:eastAsia="zh-CN"/>
        </w:rPr>
        <w:t>便于合同分类、查阅、存档</w:t>
      </w:r>
      <w:r>
        <w:rPr>
          <w:rFonts w:hint="default" w:ascii="仿宋_GB2312" w:hAnsi="仿宋_GB2312" w:eastAsia="仿宋_GB2312" w:cs="仿宋_GB2312"/>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黑体" w:hAnsi="黑体" w:eastAsia="黑体" w:cs="黑体"/>
          <w:sz w:val="32"/>
          <w:szCs w:val="32"/>
          <w:lang w:val="en-US" w:eastAsia="zh-CN"/>
        </w:rPr>
        <w:t>第二条</w:t>
      </w:r>
      <w:r>
        <w:rPr>
          <w:rFonts w:hint="default"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本办法</w:t>
      </w:r>
      <w:r>
        <w:rPr>
          <w:rFonts w:hint="default" w:ascii="仿宋_GB2312" w:hAnsi="仿宋_GB2312" w:eastAsia="仿宋_GB2312" w:cs="仿宋_GB2312"/>
          <w:sz w:val="32"/>
          <w:szCs w:val="32"/>
          <w:lang w:val="en-US" w:eastAsia="zh-CN"/>
        </w:rPr>
        <w:t>除特别指明外，适用于《</w:t>
      </w:r>
      <w:r>
        <w:rPr>
          <w:rFonts w:hint="eastAsia" w:ascii="仿宋_GB2312" w:hAnsi="仿宋_GB2312" w:eastAsia="仿宋_GB2312" w:cs="仿宋_GB2312"/>
          <w:sz w:val="32"/>
          <w:szCs w:val="32"/>
          <w:lang w:val="en-US" w:eastAsia="zh-CN"/>
        </w:rPr>
        <w:t>山东海洋文化旅游发展</w:t>
      </w:r>
      <w:r>
        <w:rPr>
          <w:rFonts w:hint="default" w:ascii="仿宋_GB2312" w:hAnsi="仿宋_GB2312" w:eastAsia="仿宋_GB2312" w:cs="仿宋_GB2312"/>
          <w:sz w:val="32"/>
          <w:szCs w:val="32"/>
          <w:lang w:val="en-US" w:eastAsia="zh-CN"/>
        </w:rPr>
        <w:t>集团有限公司合同管理</w:t>
      </w:r>
      <w:r>
        <w:rPr>
          <w:rFonts w:hint="eastAsia" w:ascii="仿宋_GB2312" w:hAnsi="仿宋_GB2312" w:eastAsia="仿宋_GB2312" w:cs="仿宋_GB2312"/>
          <w:sz w:val="32"/>
          <w:szCs w:val="32"/>
          <w:lang w:val="en-US" w:eastAsia="zh-CN"/>
        </w:rPr>
        <w:t>制度（修正稿）</w:t>
      </w:r>
      <w:r>
        <w:rPr>
          <w:rFonts w:hint="default" w:ascii="仿宋_GB2312" w:hAnsi="仿宋_GB2312" w:eastAsia="仿宋_GB2312" w:cs="仿宋_GB2312"/>
          <w:sz w:val="32"/>
          <w:szCs w:val="32"/>
          <w:lang w:val="en-US" w:eastAsia="zh-CN"/>
        </w:rPr>
        <w:t>》中规定的所有合同。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第二章  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第三条</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法务审计部负责</w:t>
      </w:r>
      <w:r>
        <w:rPr>
          <w:rFonts w:hint="eastAsia" w:ascii="仿宋_GB2312" w:hAnsi="仿宋_GB2312" w:eastAsia="仿宋_GB2312" w:cs="仿宋_GB2312"/>
          <w:sz w:val="32"/>
          <w:szCs w:val="32"/>
          <w:lang w:val="en-US" w:eastAsia="zh-CN"/>
        </w:rPr>
        <w:t>本办法</w:t>
      </w:r>
      <w:r>
        <w:rPr>
          <w:rFonts w:hint="default" w:ascii="仿宋_GB2312" w:hAnsi="仿宋_GB2312" w:eastAsia="仿宋_GB2312" w:cs="仿宋_GB2312"/>
          <w:sz w:val="32"/>
          <w:szCs w:val="32"/>
          <w:lang w:val="en-US" w:eastAsia="zh-CN"/>
        </w:rPr>
        <w:t>的制订、修改、实施指导和监督。</w:t>
      </w:r>
      <w:r>
        <w:rPr>
          <w:rFonts w:hint="eastAsia" w:ascii="仿宋_GB2312" w:hAnsi="仿宋_GB2312" w:eastAsia="仿宋_GB2312" w:cs="仿宋_GB2312"/>
          <w:sz w:val="32"/>
          <w:szCs w:val="32"/>
          <w:lang w:val="en-US" w:eastAsia="zh-CN"/>
        </w:rPr>
        <w:t>集团各部室、子公司的所有</w:t>
      </w:r>
      <w:r>
        <w:rPr>
          <w:rFonts w:hint="default" w:ascii="仿宋_GB2312" w:hAnsi="仿宋_GB2312" w:eastAsia="仿宋_GB2312" w:cs="仿宋_GB2312"/>
          <w:sz w:val="32"/>
          <w:szCs w:val="32"/>
          <w:highlight w:val="none"/>
          <w:lang w:val="en-US" w:eastAsia="zh-CN"/>
        </w:rPr>
        <w:t>合同</w:t>
      </w:r>
      <w:r>
        <w:rPr>
          <w:rFonts w:hint="eastAsia" w:ascii="仿宋_GB2312" w:hAnsi="仿宋_GB2312" w:eastAsia="仿宋_GB2312" w:cs="仿宋_GB2312"/>
          <w:sz w:val="32"/>
          <w:szCs w:val="32"/>
          <w:highlight w:val="none"/>
          <w:lang w:val="en-US" w:eastAsia="zh-CN"/>
        </w:rPr>
        <w:t>及</w:t>
      </w:r>
      <w:r>
        <w:rPr>
          <w:rFonts w:hint="default" w:ascii="仿宋_GB2312" w:hAnsi="仿宋_GB2312" w:eastAsia="仿宋_GB2312" w:cs="仿宋_GB2312"/>
          <w:sz w:val="32"/>
          <w:szCs w:val="32"/>
          <w:lang w:val="en-US" w:eastAsia="zh-CN"/>
        </w:rPr>
        <w:t>档案管理人员负责</w:t>
      </w:r>
      <w:r>
        <w:rPr>
          <w:rFonts w:hint="eastAsia" w:ascii="仿宋_GB2312" w:hAnsi="仿宋_GB2312" w:eastAsia="仿宋_GB2312" w:cs="仿宋_GB2312"/>
          <w:sz w:val="32"/>
          <w:szCs w:val="32"/>
          <w:lang w:val="en-US" w:eastAsia="zh-CN"/>
        </w:rPr>
        <w:t>本办法</w:t>
      </w:r>
      <w:r>
        <w:rPr>
          <w:rFonts w:hint="default" w:ascii="仿宋_GB2312" w:hAnsi="仿宋_GB2312" w:eastAsia="仿宋_GB2312" w:cs="仿宋_GB2312"/>
          <w:sz w:val="32"/>
          <w:szCs w:val="32"/>
          <w:lang w:val="en-US" w:eastAsia="zh-CN"/>
        </w:rPr>
        <w:t>的具体实施。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黑体" w:hAnsi="黑体" w:eastAsia="黑体" w:cs="黑体"/>
          <w:sz w:val="32"/>
          <w:szCs w:val="32"/>
          <w:highlight w:val="none"/>
          <w:lang w:val="en-US" w:eastAsia="zh-CN"/>
        </w:rPr>
        <w:t>第四条</w:t>
      </w:r>
      <w:r>
        <w:rPr>
          <w:rFonts w:hint="eastAsia" w:ascii="仿宋_GB2312" w:hAnsi="仿宋_GB2312" w:eastAsia="仿宋_GB2312" w:cs="仿宋_GB2312"/>
          <w:sz w:val="32"/>
          <w:szCs w:val="32"/>
          <w:highlight w:val="none"/>
          <w:lang w:val="en-US" w:eastAsia="zh-CN"/>
        </w:rPr>
        <w:t xml:space="preserve"> 本办法所称的合同及档案管理人员，指合同主办人、合同管理员、合同用章管理人等相关人员。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第三章  原则和方法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第五条</w:t>
      </w:r>
      <w:r>
        <w:rPr>
          <w:rFonts w:hint="eastAsia" w:ascii="仿宋_GB2312" w:hAnsi="仿宋_GB2312" w:eastAsia="仿宋_GB2312" w:cs="仿宋_GB2312"/>
          <w:sz w:val="32"/>
          <w:szCs w:val="32"/>
          <w:lang w:val="en-US" w:eastAsia="zh-CN"/>
        </w:rPr>
        <w:t xml:space="preserve"> 合同分类编号应遵守以下原则：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（一）适应集团主营业务的合同管理需要；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（二）集团所有合同应当按照统一标准进行分类并连续编号；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（三）集团所有合同编号具有唯一性，实行“一对一”模式。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第六条</w:t>
      </w:r>
      <w:r>
        <w:rPr>
          <w:rFonts w:hint="eastAsia" w:ascii="仿宋_GB2312" w:hAnsi="仿宋_GB2312" w:eastAsia="仿宋_GB2312" w:cs="仿宋_GB2312"/>
          <w:sz w:val="32"/>
          <w:szCs w:val="32"/>
          <w:lang w:val="en-US" w:eastAsia="zh-CN"/>
        </w:rPr>
        <w:t xml:space="preserve"> 合同分类编号方法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（一）主合同编号方法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.合同编号由</w:t>
      </w:r>
      <w:r>
        <w:rPr>
          <w:rFonts w:hint="eastAsia" w:ascii="仿宋_GB2312" w:hAnsi="仿宋_GB2312" w:eastAsia="仿宋_GB2312" w:cs="仿宋_GB2312"/>
          <w:sz w:val="32"/>
          <w:szCs w:val="32"/>
          <w:highlight w:val="none"/>
          <w:lang w:val="en-US" w:eastAsia="zh-CN"/>
        </w:rPr>
        <w:t>字母、数字、横线组</w:t>
      </w:r>
      <w:r>
        <w:rPr>
          <w:rFonts w:hint="eastAsia" w:ascii="仿宋_GB2312" w:hAnsi="仿宋_GB2312" w:eastAsia="仿宋_GB2312" w:cs="仿宋_GB2312"/>
          <w:sz w:val="32"/>
          <w:szCs w:val="32"/>
          <w:lang w:val="en-US" w:eastAsia="zh-CN"/>
        </w:rPr>
        <w:t>成，</w:t>
      </w:r>
      <w:r>
        <w:rPr>
          <w:rFonts w:hint="eastAsia" w:ascii="仿宋_GB2312" w:hAnsi="仿宋_GB2312" w:eastAsia="仿宋_GB2312" w:cs="仿宋_GB2312"/>
          <w:sz w:val="32"/>
          <w:szCs w:val="32"/>
          <w:highlight w:val="none"/>
          <w:lang w:val="en-US" w:eastAsia="zh-CN"/>
        </w:rPr>
        <w:t>部分特殊合同还存在括号；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.编号形式一般为“</w:t>
      </w:r>
      <w:r>
        <w:rPr>
          <w:rFonts w:hint="default" w:ascii="Arial" w:hAnsi="Arial" w:eastAsia="仿宋_GB2312" w:cs="Arial"/>
          <w:sz w:val="32"/>
          <w:szCs w:val="32"/>
          <w:highlight w:val="none"/>
          <w:lang w:val="en-US" w:eastAsia="zh-CN"/>
        </w:rPr>
        <w:t>××××</w:t>
      </w:r>
      <w:r>
        <w:rPr>
          <w:rFonts w:hint="eastAsia" w:ascii="仿宋_GB2312" w:hAnsi="仿宋_GB2312" w:eastAsia="仿宋_GB2312" w:cs="仿宋_GB2312"/>
          <w:sz w:val="32"/>
          <w:szCs w:val="32"/>
          <w:lang w:val="en-US" w:eastAsia="zh-CN"/>
        </w:rPr>
        <w:t xml:space="preserve"> </w:t>
      </w:r>
      <w:r>
        <w:rPr>
          <w:rFonts w:hint="eastAsia" w:ascii="微软雅黑" w:hAnsi="微软雅黑" w:eastAsia="微软雅黑" w:cs="微软雅黑"/>
          <w:sz w:val="32"/>
          <w:szCs w:val="32"/>
          <w:lang w:val="en-US" w:eastAsia="zh-CN"/>
        </w:rPr>
        <w:t>-</w:t>
      </w: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w:t>
      </w:r>
      <w:r>
        <w:rPr>
          <w:rFonts w:hint="eastAsia" w:ascii="微软雅黑" w:hAnsi="微软雅黑" w:eastAsia="微软雅黑" w:cs="微软雅黑"/>
          <w:sz w:val="32"/>
          <w:szCs w:val="32"/>
          <w:lang w:val="en-US" w:eastAsia="zh-CN"/>
        </w:rPr>
        <w:t xml:space="preserve"> - </w:t>
      </w:r>
      <w:r>
        <w:rPr>
          <w:rFonts w:hint="default" w:ascii="仿宋_GB2312" w:hAnsi="仿宋_GB2312" w:eastAsia="仿宋_GB2312" w:cs="仿宋_GB2312"/>
          <w:sz w:val="32"/>
          <w:szCs w:val="32"/>
          <w:lang w:val="en-US" w:eastAsia="zh-CN"/>
        </w:rPr>
        <w:t>□□</w:t>
      </w:r>
      <w:r>
        <w:rPr>
          <w:rFonts w:hint="eastAsia" w:ascii="微软雅黑" w:hAnsi="微软雅黑" w:eastAsia="微软雅黑" w:cs="微软雅黑"/>
          <w:sz w:val="32"/>
          <w:szCs w:val="32"/>
          <w:lang w:val="en-US" w:eastAsia="zh-CN"/>
        </w:rPr>
        <w:t xml:space="preserve"> - </w:t>
      </w:r>
      <w:r>
        <w:rPr>
          <w:rFonts w:hint="default" w:ascii="仿宋_GB2312" w:hAnsi="仿宋_GB2312" w:eastAsia="仿宋_GB2312" w:cs="仿宋_GB2312"/>
          <w:sz w:val="32"/>
          <w:szCs w:val="32"/>
          <w:lang w:val="en-US" w:eastAsia="zh-CN"/>
        </w:rPr>
        <w:t>✿✿✿✿</w:t>
      </w:r>
      <w:r>
        <w:rPr>
          <w:rFonts w:hint="eastAsia" w:ascii="微软雅黑" w:hAnsi="微软雅黑" w:eastAsia="微软雅黑" w:cs="微软雅黑"/>
          <w:sz w:val="32"/>
          <w:szCs w:val="32"/>
          <w:lang w:val="en-US" w:eastAsia="zh-CN"/>
        </w:rPr>
        <w:t xml:space="preserve"> - </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”，其中符号所代表的含义如下图所示：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240" w:firstLineChars="7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（使用“</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”进行连接各级编号）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2515235</wp:posOffset>
                </wp:positionH>
                <wp:positionV relativeFrom="paragraph">
                  <wp:posOffset>69215</wp:posOffset>
                </wp:positionV>
                <wp:extent cx="0" cy="371475"/>
                <wp:effectExtent l="4445" t="0" r="14605" b="9525"/>
                <wp:wrapNone/>
                <wp:docPr id="2" name="直接连接符 2"/>
                <wp:cNvGraphicFramePr/>
                <a:graphic xmlns:a="http://schemas.openxmlformats.org/drawingml/2006/main">
                  <a:graphicData uri="http://schemas.microsoft.com/office/word/2010/wordprocessingShape">
                    <wps:wsp>
                      <wps:cNvCnPr/>
                      <wps:spPr>
                        <a:xfrm>
                          <a:off x="3585210" y="2799080"/>
                          <a:ext cx="0" cy="371475"/>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198.05pt;margin-top:5.45pt;height:29.25pt;width:0pt;z-index:251659264;mso-width-relative:page;mso-height-relative:page;" filled="f" stroked="t" coordsize="21600,21600" o:gfxdata="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VSG/tYAAAAJAQAADwAAAAAAAAABACAAAAAiAAAAZHJzL2Rvd25y&#10;ZXYueG1sUEsBAhQAFAAAAAgAh07iQBemy8sAAgAA7AMAAA4AAAAAAAAAAQAgAAAAJQEAAGRycy9l&#10;Mm9Eb2MueG1sUEsFBgAAAAAGAAYAWQEAAJcFAAAAAA==&#10;">
                <v:fill on="f" focussize="0,0"/>
                <v:stroke color="#000000" joinstyle="round"/>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column">
                  <wp:posOffset>3685540</wp:posOffset>
                </wp:positionH>
                <wp:positionV relativeFrom="paragraph">
                  <wp:posOffset>85090</wp:posOffset>
                </wp:positionV>
                <wp:extent cx="0" cy="266700"/>
                <wp:effectExtent l="48895" t="0" r="65405" b="0"/>
                <wp:wrapNone/>
                <wp:docPr id="7" name="直接箭头连接符 7"/>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290.2pt;margin-top:6.7pt;height:21pt;width:0pt;z-index:251663360;mso-width-relative:page;mso-height-relative:page;" filled="f" stroked="t" coordsize="21600,21600" o:gfxdata="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T7VEtYAAAAJ&#10;AQAADwAAAAAAAAABACAAAAAiAAAAZHJzL2Rvd25yZXYueG1sUEsBAhQAFAAAAAgAh07iQK40VLse&#10;AgAAHwQAAA4AAAAAAAAAAQAgAAAAJQEAAGRycy9lMm9Eb2MueG1sUEsFBgAAAAAGAAYAWQEAALUF&#10;A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2524760</wp:posOffset>
                </wp:positionH>
                <wp:positionV relativeFrom="paragraph">
                  <wp:posOffset>67945</wp:posOffset>
                </wp:positionV>
                <wp:extent cx="0" cy="266700"/>
                <wp:effectExtent l="48895" t="0" r="65405" b="0"/>
                <wp:wrapNone/>
                <wp:docPr id="9" name="直接箭头连接符 9"/>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198.8pt;margin-top:5.35pt;height:21pt;width:0pt;z-index:251665408;mso-width-relative:page;mso-height-relative:page;" filled="f" stroked="t" coordsize="21600,21600" o:gfxdata="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oP7AbWAAAACQEA&#10;AA8AAAAAAAAAAQAgAAAAIgAAAGRycy9kb3ducmV2LnhtbFBLAQIUABQAAAAIAIdO4kCav8V7HAIA&#10;AB8EAAAOAAAAAAAAAAEAIAAAACUBAABkcnMvZTJvRG9jLnhtbFBLBQYAAAAABgAGAFkBAACzBQAA&#10;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5289550</wp:posOffset>
                </wp:positionH>
                <wp:positionV relativeFrom="paragraph">
                  <wp:posOffset>75565</wp:posOffset>
                </wp:positionV>
                <wp:extent cx="0" cy="266700"/>
                <wp:effectExtent l="48895" t="0" r="65405" b="0"/>
                <wp:wrapNone/>
                <wp:docPr id="8" name="直接箭头连接符 8"/>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416.5pt;margin-top:5.95pt;height:21pt;width:0pt;z-index:251664384;mso-width-relative:page;mso-height-relative:page;" filled="f" stroked="t" coordsize="21600,21600" o:gfxdata="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QFLjtcAAAAJ&#10;AQAADwAAAAAAAAABACAAAAAiAAAAZHJzL2Rvd25yZXYueG1sUEsBAhQAFAAAAAgAh07iQPInJucd&#10;AgAAHwQAAA4AAAAAAAAAAQAgAAAAJgEAAGRycy9lMm9Eb2MueG1sUEsFBgAAAAAGAAYAWQEAALUF&#10;A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260350</wp:posOffset>
                </wp:positionH>
                <wp:positionV relativeFrom="paragraph">
                  <wp:posOffset>85090</wp:posOffset>
                </wp:positionV>
                <wp:extent cx="0" cy="266700"/>
                <wp:effectExtent l="48895" t="0" r="65405" b="0"/>
                <wp:wrapNone/>
                <wp:docPr id="5" name="直接箭头连接符 5"/>
                <wp:cNvGraphicFramePr/>
                <a:graphic xmlns:a="http://schemas.openxmlformats.org/drawingml/2006/main">
                  <a:graphicData uri="http://schemas.microsoft.com/office/word/2010/wordprocessingShape">
                    <wps:wsp>
                      <wps:cNvCnPr/>
                      <wps:spPr>
                        <a:xfrm>
                          <a:off x="1213485" y="3132455"/>
                          <a:ext cx="0" cy="26670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20.5pt;margin-top:6.7pt;height:21pt;width:0pt;z-index:251661312;mso-width-relative:page;mso-height-relative:page;" filled="f" stroked="t" coordsize="21600,21600" o:gfxdata="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jEpUx1AAAAAcBAAAPAAAAAAAAAAEAIAAAACIAAABkcnMvZG93bnJldi54bWxQSwECFAAU&#10;AAAACACHTuJAO0tjOi4CAAArBAAADgAAAAAAAAABACAAAAAjAQAAZHJzL2Uyb0RvYy54bWxQSwUG&#10;AAAAAAYABgBZAQAAwwU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1546225</wp:posOffset>
                </wp:positionH>
                <wp:positionV relativeFrom="paragraph">
                  <wp:posOffset>94615</wp:posOffset>
                </wp:positionV>
                <wp:extent cx="0" cy="266700"/>
                <wp:effectExtent l="48895" t="0" r="65405" b="0"/>
                <wp:wrapNone/>
                <wp:docPr id="6" name="直接箭头连接符 6"/>
                <wp:cNvGraphicFramePr/>
                <a:graphic xmlns:a="http://schemas.openxmlformats.org/drawingml/2006/main">
                  <a:graphicData uri="http://schemas.microsoft.com/office/word/2010/wordprocessingShape">
                    <wps:wsp>
                      <wps:cNvCnPr/>
                      <wps:spPr>
                        <a:xfrm>
                          <a:off x="0" y="0"/>
                          <a:ext cx="0" cy="26670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121.75pt;margin-top:7.45pt;height:21pt;width:0pt;z-index:251662336;mso-width-relative:page;mso-height-relative:page;" filled="f" stroked="t" coordsize="21600,21600" o:gfxdata="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bSP/1gAAAAkB&#10;AAAPAAAAAAAAAAEAIAAAACIAAABkcnMvZG93bnJldi54bWxQSwECFAAUAAAACACHTuJAxqy3Jx0C&#10;AAAfBAAADgAAAAAAAAABACAAAAAlAQAAZHJzL2Uyb0RvYy54bWxQSwUGAAAAAAYABgBZAQAAtAUA&#10;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250825</wp:posOffset>
                </wp:positionH>
                <wp:positionV relativeFrom="paragraph">
                  <wp:posOffset>75565</wp:posOffset>
                </wp:positionV>
                <wp:extent cx="5038725" cy="9525"/>
                <wp:effectExtent l="0" t="0" r="0" b="0"/>
                <wp:wrapNone/>
                <wp:docPr id="3" name="直接连接符 3"/>
                <wp:cNvGraphicFramePr/>
                <a:graphic xmlns:a="http://schemas.openxmlformats.org/drawingml/2006/main">
                  <a:graphicData uri="http://schemas.microsoft.com/office/word/2010/wordprocessingShape">
                    <wps:wsp>
                      <wps:cNvCnPr/>
                      <wps:spPr>
                        <a:xfrm>
                          <a:off x="1223010" y="3113405"/>
                          <a:ext cx="5038725" cy="9525"/>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19.75pt;margin-top:5.95pt;height:0.75pt;width:396.75pt;z-index:251660288;mso-width-relative:page;mso-height-relative:page;" filled="f" stroked="t" coordsize="21600,21600" o:gfxdata="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Lzy1/WAAAACAEAAA8AAAAAAAAAAQAgAAAAIgAAAGRycy9kb3du&#10;cmV2LnhtbFBLAQIUABQAAAAIAIdO4kBODzMPAQIAAPADAAAOAAAAAAAAAAEAIAAAACUBAABkcnMv&#10;ZTJvRG9jLnhtbFBLBQYAAAAABgAGAFkBAACYBQAAAAA=&#10;">
                <v:fill on="f" focussize="0,0"/>
                <v:stroke color="#000000" joinstyle="round"/>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val="en-US" w:eastAsia="zh-CN"/>
        </w:rPr>
        <w:t xml:space="preserve">  </w:t>
      </w:r>
      <w:r>
        <w:rPr>
          <w:rFonts w:hint="default" w:ascii="仿宋_GB2312" w:hAnsi="仿宋_GB2312" w:eastAsia="仿宋_GB2312" w:cs="仿宋_GB2312"/>
          <w:sz w:val="30"/>
          <w:szCs w:val="3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71552" behindDoc="0" locked="0" layoutInCell="1" allowOverlap="1">
                <wp:simplePos x="0" y="0"/>
                <wp:positionH relativeFrom="column">
                  <wp:posOffset>3696970</wp:posOffset>
                </wp:positionH>
                <wp:positionV relativeFrom="paragraph">
                  <wp:posOffset>91440</wp:posOffset>
                </wp:positionV>
                <wp:extent cx="9525" cy="2028825"/>
                <wp:effectExtent l="40005" t="0" r="64770" b="9525"/>
                <wp:wrapNone/>
                <wp:docPr id="16" name="直接箭头连接符 16"/>
                <wp:cNvGraphicFramePr/>
                <a:graphic xmlns:a="http://schemas.openxmlformats.org/drawingml/2006/main">
                  <a:graphicData uri="http://schemas.microsoft.com/office/word/2010/wordprocessingShape">
                    <wps:wsp>
                      <wps:cNvCnPr/>
                      <wps:spPr>
                        <a:xfrm>
                          <a:off x="4937760" y="3816350"/>
                          <a:ext cx="9525" cy="2028825"/>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291.1pt;margin-top:7.2pt;height:159.75pt;width:0.75pt;z-index:251671552;mso-width-relative:page;mso-height-relative:page;" filled="f" stroked="t" coordsize="21600,21600" o:gfxdata="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FH9oEtkAAAAKAQAADwAAAAAAAAABACAAAAAiAAAAZHJzL2Rvd25yZXYueG1sUEsB&#10;AhQAFAAAAAgAh07iQMbTHp4tAgAAMQQAAA4AAAAAAAAAAQAgAAAAKAEAAGRycy9lMm9Eb2MueG1s&#10;UEsFBgAAAAAGAAYAWQEAAMcFA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2507615</wp:posOffset>
                </wp:positionH>
                <wp:positionV relativeFrom="paragraph">
                  <wp:posOffset>88265</wp:posOffset>
                </wp:positionV>
                <wp:extent cx="9525" cy="2409825"/>
                <wp:effectExtent l="48895" t="0" r="55880" b="9525"/>
                <wp:wrapNone/>
                <wp:docPr id="15" name="直接箭头连接符 15"/>
                <wp:cNvGraphicFramePr/>
                <a:graphic xmlns:a="http://schemas.openxmlformats.org/drawingml/2006/main">
                  <a:graphicData uri="http://schemas.microsoft.com/office/word/2010/wordprocessingShape">
                    <wps:wsp>
                      <wps:cNvCnPr/>
                      <wps:spPr>
                        <a:xfrm flipH="1">
                          <a:off x="3670935" y="3854450"/>
                          <a:ext cx="9525" cy="2409825"/>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flip:x;margin-left:197.45pt;margin-top:6.95pt;height:189.75pt;width:0.75pt;z-index:251670528;mso-width-relative:page;mso-height-relative:page;" filled="f" stroked="t" coordsize="21600,21600" o:gfxdata="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IoYrlDYAAAACgEAAA8AAAAAAAAAAQAgAAAAIgAAAGRycy9kb3ducmV2Lnht&#10;bFBLAQIUABQAAAAIAIdO4kCY6/PIMgIAADsEAAAOAAAAAAAAAAEAIAAAACcBAABkcnMvZTJvRG9j&#10;LnhtbFBLBQYAAAAABgAGAFkBAADLBQ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231775</wp:posOffset>
                </wp:positionH>
                <wp:positionV relativeFrom="paragraph">
                  <wp:posOffset>116205</wp:posOffset>
                </wp:positionV>
                <wp:extent cx="19050" cy="3703955"/>
                <wp:effectExtent l="4445" t="0" r="14605" b="10795"/>
                <wp:wrapNone/>
                <wp:docPr id="10" name="直接连接符 10"/>
                <wp:cNvGraphicFramePr/>
                <a:graphic xmlns:a="http://schemas.openxmlformats.org/drawingml/2006/main">
                  <a:graphicData uri="http://schemas.microsoft.com/office/word/2010/wordprocessingShape">
                    <wps:wsp>
                      <wps:cNvCnPr/>
                      <wps:spPr>
                        <a:xfrm flipH="1">
                          <a:off x="1223010" y="3865245"/>
                          <a:ext cx="19050" cy="3703955"/>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flip:x;margin-left:18.25pt;margin-top:9.15pt;height:291.65pt;width:1.5pt;z-index:251666432;mso-width-relative:page;mso-height-relative:page;" filled="f" stroked="t" coordsize="21600,21600" o:gfxdata="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n3YB59UAAAAIAQAADwAAAAAAAAABACAAAAAi&#10;AAAAZHJzL2Rvd25yZXYueG1sUEsBAhQAFAAAAAgAh07iQIAkTBUNAgAA/QMAAA4AAAAAAAAAAQAg&#10;AAAAJAEAAGRycy9lMm9Eb2MueG1sUEsFBgAAAAAGAAYAWQEAAKM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2576" behindDoc="0" locked="0" layoutInCell="1" allowOverlap="1">
                <wp:simplePos x="0" y="0"/>
                <wp:positionH relativeFrom="column">
                  <wp:posOffset>5308600</wp:posOffset>
                </wp:positionH>
                <wp:positionV relativeFrom="paragraph">
                  <wp:posOffset>57785</wp:posOffset>
                </wp:positionV>
                <wp:extent cx="0" cy="666750"/>
                <wp:effectExtent l="48895" t="0" r="65405" b="0"/>
                <wp:wrapNone/>
                <wp:docPr id="17" name="直接箭头连接符 17"/>
                <wp:cNvGraphicFramePr/>
                <a:graphic xmlns:a="http://schemas.openxmlformats.org/drawingml/2006/main">
                  <a:graphicData uri="http://schemas.microsoft.com/office/word/2010/wordprocessingShape">
                    <wps:wsp>
                      <wps:cNvCnPr/>
                      <wps:spPr>
                        <a:xfrm>
                          <a:off x="6280785" y="3806825"/>
                          <a:ext cx="0" cy="66675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418pt;margin-top:4.55pt;height:52.5pt;width:0pt;z-index:251672576;mso-width-relative:page;mso-height-relative:page;" filled="f" stroked="t" coordsize="21600,21600" o:gfxdata="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Bgv53WAAAACQEAAA8AAAAAAAAAAQAgAAAAIgAAAGRycy9kb3ducmV2LnhtbFBLAQIU&#10;ABQAAAAIAIdO4kBcVk9ULgIAAC0EAAAOAAAAAAAAAAEAIAAAACUBAABkcnMvZTJvRG9jLnhtbFBL&#10;BQYAAAAABgAGAFkBAADFBQAAAAA=&#10;">
                <v:fill on="f" focussize="0,0"/>
                <v:stroke color="#000000" joinstyle="round" endarrow="open"/>
                <v:imagedata o:title=""/>
                <o:lock v:ext="edit" aspectratio="f"/>
              </v:shap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1536700</wp:posOffset>
                </wp:positionH>
                <wp:positionV relativeFrom="paragraph">
                  <wp:posOffset>105410</wp:posOffset>
                </wp:positionV>
                <wp:extent cx="9525" cy="3295650"/>
                <wp:effectExtent l="4445" t="0" r="5080" b="0"/>
                <wp:wrapNone/>
                <wp:docPr id="13" name="直接连接符 13"/>
                <wp:cNvGraphicFramePr/>
                <a:graphic xmlns:a="http://schemas.openxmlformats.org/drawingml/2006/main">
                  <a:graphicData uri="http://schemas.microsoft.com/office/word/2010/wordprocessingShape">
                    <wps:wsp>
                      <wps:cNvCnPr/>
                      <wps:spPr>
                        <a:xfrm>
                          <a:off x="2508885" y="3854450"/>
                          <a:ext cx="9525" cy="329565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121pt;margin-top:8.3pt;height:259.5pt;width:0.75pt;z-index:251668480;mso-width-relative:page;mso-height-relative:page;" filled="f" stroked="t" coordsize="21600,21600" o:gfxdata="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bcAILYAAAACgEAAA8AAAAAAAAAAQAgAAAAIgAAAGRycy9k&#10;b3ducmV2LnhtbFBLAQIUABQAAAAIAIdO4kByyC/cAgIAAPIDAAAOAAAAAAAAAAEAIAAAACcBAABk&#10;cnMvZTJvRG9jLnhtbFBLBQYAAAAABgAGAFkBAACbBQAAAAA=&#10;">
                <v:fill on="f" focussize="0,0"/>
                <v:stroke color="#000000" joinstyle="round"/>
                <v:imagedata o:title=""/>
                <o:lock v:ext="edit" aspectratio="f"/>
              </v:line>
            </w:pict>
          </mc:Fallback>
        </mc:AlternateConten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0" w:hanging="6400" w:hangingChars="20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五级编号：该年份内所签合同份数顺序号</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四级编号：合同签订年份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三级编号：合同类型拼音缩写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8"/>
          <w:szCs w:val="28"/>
          <w:lang w:val="en-US" w:eastAsia="zh-CN"/>
        </w:rPr>
      </w:pPr>
      <w:r>
        <w:rPr>
          <w:sz w:val="32"/>
        </w:rPr>
        <mc:AlternateContent>
          <mc:Choice Requires="wps">
            <w:drawing>
              <wp:anchor distT="0" distB="0" distL="114300" distR="114300" simplePos="0" relativeHeight="251669504" behindDoc="0" locked="0" layoutInCell="1" allowOverlap="1">
                <wp:simplePos x="0" y="0"/>
                <wp:positionH relativeFrom="column">
                  <wp:posOffset>1536700</wp:posOffset>
                </wp:positionH>
                <wp:positionV relativeFrom="paragraph">
                  <wp:posOffset>207010</wp:posOffset>
                </wp:positionV>
                <wp:extent cx="685800" cy="0"/>
                <wp:effectExtent l="0" t="48895" r="0" b="65405"/>
                <wp:wrapNone/>
                <wp:docPr id="14" name="直接箭头连接符 14"/>
                <wp:cNvGraphicFramePr/>
                <a:graphic xmlns:a="http://schemas.openxmlformats.org/drawingml/2006/main">
                  <a:graphicData uri="http://schemas.microsoft.com/office/word/2010/wordprocessingShape">
                    <wps:wsp>
                      <wps:cNvCnPr/>
                      <wps:spPr>
                        <a:xfrm>
                          <a:off x="2508885" y="6445250"/>
                          <a:ext cx="685800" cy="0"/>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margin-left:121pt;margin-top:16.3pt;height:0pt;width:54pt;z-index:251669504;mso-width-relative:page;mso-height-relative:page;" filled="f" stroked="t" coordsize="21600,21600" o:gfxdata="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euLQv1gAAAAkBAAAPAAAAAAAAAAEAIAAAACIAAABkcnMvZG93bnJldi54bWxQSwECFAAU&#10;AAAACACHTuJA6mcnKywCAAAtBAAADgAAAAAAAAABACAAAAAlAQAAZHJzL2Uyb0RvYy54bWxQSwUG&#10;AAAAAAYABgBZAQAAwwUAAAAA&#10;">
                <v:fill on="f" focussize="0,0"/>
                <v:stroke color="#000000" joinstyle="round" endarrow="open"/>
                <v:imagedata o:title=""/>
                <o:lock v:ext="edit" aspectratio="f"/>
              </v:shape>
            </w:pict>
          </mc:Fallback>
        </mc:AlternateConten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 xml:space="preserve">二级编号：合同负责部门名称拼音缩写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7456" behindDoc="0" locked="0" layoutInCell="1" allowOverlap="1">
                <wp:simplePos x="0" y="0"/>
                <wp:positionH relativeFrom="column">
                  <wp:posOffset>231775</wp:posOffset>
                </wp:positionH>
                <wp:positionV relativeFrom="paragraph">
                  <wp:posOffset>252730</wp:posOffset>
                </wp:positionV>
                <wp:extent cx="895350" cy="9525"/>
                <wp:effectExtent l="0" t="48260" r="0" b="56515"/>
                <wp:wrapNone/>
                <wp:docPr id="12" name="直接箭头连接符 12"/>
                <wp:cNvGraphicFramePr/>
                <a:graphic xmlns:a="http://schemas.openxmlformats.org/drawingml/2006/main">
                  <a:graphicData uri="http://schemas.microsoft.com/office/word/2010/wordprocessingShape">
                    <wps:wsp>
                      <wps:cNvCnPr/>
                      <wps:spPr>
                        <a:xfrm flipV="1">
                          <a:off x="1223010" y="6627495"/>
                          <a:ext cx="895350" cy="9525"/>
                        </a:xfrm>
                        <a:prstGeom prst="straightConnector1">
                          <a:avLst/>
                        </a:prstGeom>
                        <a:noFill/>
                        <a:ln w="9525" cap="flat" cmpd="sng" algn="ctr">
                          <a:solidFill>
                            <a:srgbClr val="000000">
                              <a:shade val="95000"/>
                              <a:satMod val="105000"/>
                            </a:srgbClr>
                          </a:solidFill>
                          <a:prstDash val="solid"/>
                          <a:tailEnd type="arrow" w="med" len="med"/>
                        </a:ln>
                        <a:effectLst/>
                      </wps:spPr>
                      <wps:bodyPr/>
                    </wps:wsp>
                  </a:graphicData>
                </a:graphic>
              </wp:anchor>
            </w:drawing>
          </mc:Choice>
          <mc:Fallback>
            <w:pict>
              <v:shape id="_x0000_s1026" o:spid="_x0000_s1026" o:spt="32" type="#_x0000_t32" style="position:absolute;left:0pt;flip:y;margin-left:18.25pt;margin-top:19.9pt;height:0.75pt;width:70.5pt;z-index:251667456;mso-width-relative:page;mso-height-relative:page;" filled="f" stroked="t" coordsize="21600,21600" o:gfxdata="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1dWt9cAAAAIAQAADwAAAAAAAAABACAAAAAiAAAAZHJzL2Rvd25yZXYueG1s&#10;UEsBAhQAFAAAAAgAh07iQGlXnpIyAgAAOgQAAA4AAAAAAAAAAQAgAAAAJgEAAGRycy9lMm9Eb2Mu&#10;eG1sUEsFBgAAAAAGAAYAWQEAAMoFAAAAAA==&#10;">
                <v:fill on="f" focussize="0,0"/>
                <v:stroke color="#000000" joinstyle="round" endarrow="open"/>
                <v:imagedata o:title=""/>
                <o:lock v:ext="edit" aspectratio="f"/>
              </v:shape>
            </w:pict>
          </mc:Fallback>
        </mc:AlternateConten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28"/>
          <w:szCs w:val="28"/>
          <w:lang w:val="en-US" w:eastAsia="zh-CN"/>
        </w:rPr>
        <w:t>一级编号：集团、子公司名称拼音缩写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合同编号示意图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（二）主合同编号具体编写规则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6"/>
          <w:sz w:val="32"/>
          <w:szCs w:val="32"/>
          <w:lang w:val="en-US" w:eastAsia="zh-CN"/>
        </w:rPr>
      </w:pPr>
      <w:r>
        <w:rPr>
          <w:rFonts w:hint="eastAsia"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pacing w:val="-6"/>
          <w:sz w:val="32"/>
          <w:szCs w:val="32"/>
          <w:lang w:val="en-US" w:eastAsia="zh-CN"/>
        </w:rPr>
        <w:t>一级编号：集团、子公司名称拼音缩写规则，如下图所示：</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8"/>
        <w:gridCol w:w="2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集团、各子公司名称</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拼音缩写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山东海洋文化旅游发展集团有限公司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JTBB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日照东方太阳城文化旅游开发有限公司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WLKF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日照市圣海置业有限公司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SHZY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日照东方太阳城景区运营管理有限公司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JQYY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日照星光海岸景区运营管理有限公司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XGHA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日照海洋文旅建设发展有限公司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WLJS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日照圣海供应链管理有限公司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SHGYL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日照市圣海园林绿化工程有限公司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SHYL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日照星光海洋牧场渔业有限公司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YYGS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日照东方太阳城文化旅游研究院有限公司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default"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highlight w:val="none"/>
                <w:vertAlign w:val="baseline"/>
                <w:lang w:val="en-US" w:eastAsia="zh-CN"/>
              </w:rPr>
              <w:t>YJY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日照市圣海物业服务有限公司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SHWY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日照海洋文化发展有限公司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HYWH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日照市廒头盐场</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ATYC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4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日照海洋汽车租赁有限公司</w:t>
            </w:r>
          </w:p>
        </w:tc>
        <w:tc>
          <w:tcPr>
            <w:tcW w:w="281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QCZL</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如有其他或新增子公司，按照上述规则编写一级编号。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.二级编号：合同负责部门名称拼音缩写规则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一般取部门名称前两个字的拼音首写大写字母组合而成。但日照圣海供应链管理有限公司生产部、市场部的二级编号分别为</w:t>
      </w:r>
      <w:r>
        <w:rPr>
          <w:rFonts w:hint="eastAsia" w:ascii="仿宋_GB2312" w:hAnsi="仿宋_GB2312" w:eastAsia="仿宋_GB2312" w:cs="仿宋_GB2312"/>
          <w:sz w:val="32"/>
          <w:szCs w:val="32"/>
          <w:highlight w:val="none"/>
          <w:lang w:val="en-US" w:eastAsia="zh-CN"/>
        </w:rPr>
        <w:t>SCA、SCB</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.三级编号：</w:t>
      </w:r>
      <w:r>
        <w:rPr>
          <w:rFonts w:hint="eastAsia" w:ascii="仿宋_GB2312" w:hAnsi="仿宋_GB2312" w:eastAsia="仿宋_GB2312" w:cs="仿宋_GB2312"/>
          <w:sz w:val="32"/>
          <w:szCs w:val="32"/>
          <w:highlight w:val="none"/>
          <w:lang w:val="en-US" w:eastAsia="zh-CN"/>
        </w:rPr>
        <w:t>合同类型拼音缩写规则，</w:t>
      </w:r>
      <w:r>
        <w:rPr>
          <w:rFonts w:hint="eastAsia" w:ascii="仿宋_GB2312" w:hAnsi="仿宋_GB2312" w:eastAsia="仿宋_GB2312" w:cs="仿宋_GB2312"/>
          <w:sz w:val="32"/>
          <w:szCs w:val="32"/>
          <w:lang w:val="en-US" w:eastAsia="zh-CN"/>
        </w:rPr>
        <w:t>如下图所示：</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9"/>
        <w:gridCol w:w="3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合同类型</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拼音缩写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一般采购合同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CG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租赁合同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ZL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宣传类合同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XC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yellow"/>
                <w:vertAlign w:val="baseline"/>
                <w:lang w:val="en-US" w:eastAsia="zh-CN"/>
              </w:rPr>
            </w:pPr>
            <w:r>
              <w:rPr>
                <w:rFonts w:hint="eastAsia" w:ascii="仿宋_GB2312" w:hAnsi="仿宋_GB2312" w:eastAsia="仿宋_GB2312" w:cs="仿宋_GB2312"/>
                <w:sz w:val="32"/>
                <w:szCs w:val="32"/>
                <w:highlight w:val="none"/>
                <w:vertAlign w:val="baseline"/>
                <w:lang w:val="en-US" w:eastAsia="zh-CN"/>
              </w:rPr>
              <w:t>销售合同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yellow"/>
                <w:vertAlign w:val="baseline"/>
                <w:lang w:val="en-US" w:eastAsia="zh-CN"/>
              </w:rPr>
            </w:pPr>
            <w:r>
              <w:rPr>
                <w:rFonts w:hint="eastAsia" w:ascii="仿宋_GB2312" w:hAnsi="仿宋_GB2312" w:eastAsia="仿宋_GB2312" w:cs="仿宋_GB2312"/>
                <w:sz w:val="32"/>
                <w:szCs w:val="32"/>
                <w:highlight w:val="none"/>
                <w:vertAlign w:val="baseline"/>
                <w:lang w:val="en-US" w:eastAsia="zh-CN"/>
              </w:rPr>
              <w:t>XS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项目前期合同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项目建设期合同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JS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物业服务合同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委托合同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融资类合同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RZ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val="en-US" w:eastAsia="zh-CN"/>
              </w:rPr>
              <w:t>用工类合同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YG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借款合同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JK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承揽合同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CL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合作、合资类合同</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vertAlign w:val="baseline"/>
                <w:lang w:val="en-US" w:eastAsia="zh-CN"/>
              </w:rPr>
            </w:pPr>
            <w:r>
              <w:rPr>
                <w:rFonts w:hint="eastAsia" w:ascii="仿宋_GB2312" w:hAnsi="仿宋_GB2312" w:eastAsia="仿宋_GB2312" w:cs="仿宋_GB2312"/>
                <w:sz w:val="32"/>
                <w:szCs w:val="32"/>
                <w:highlight w:val="none"/>
                <w:vertAlign w:val="baseline"/>
                <w:lang w:val="en-US" w:eastAsia="zh-CN"/>
              </w:rPr>
              <w:t>其他</w:t>
            </w:r>
          </w:p>
        </w:tc>
        <w:tc>
          <w:tcPr>
            <w:tcW w:w="344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QT</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四级</w:t>
      </w:r>
      <w:r>
        <w:rPr>
          <w:rFonts w:hint="eastAsia" w:ascii="仿宋_GB2312" w:hAnsi="仿宋_GB2312" w:eastAsia="仿宋_GB2312" w:cs="仿宋_GB2312"/>
          <w:sz w:val="32"/>
          <w:szCs w:val="32"/>
          <w:lang w:val="en-US" w:eastAsia="zh-CN"/>
        </w:rPr>
        <w:t>编号即</w:t>
      </w:r>
      <w:r>
        <w:rPr>
          <w:rFonts w:hint="default" w:ascii="仿宋_GB2312" w:hAnsi="仿宋_GB2312" w:eastAsia="仿宋_GB2312" w:cs="仿宋_GB2312"/>
          <w:sz w:val="32"/>
          <w:szCs w:val="32"/>
          <w:lang w:val="en-US" w:eastAsia="zh-CN"/>
        </w:rPr>
        <w:t>合同签订年份</w:t>
      </w:r>
      <w:r>
        <w:rPr>
          <w:rFonts w:hint="eastAsia" w:ascii="仿宋_GB2312" w:hAnsi="仿宋_GB2312" w:eastAsia="仿宋_GB2312" w:cs="仿宋_GB2312"/>
          <w:sz w:val="32"/>
          <w:szCs w:val="32"/>
          <w:lang w:val="en-US" w:eastAsia="zh-CN"/>
        </w:rPr>
        <w:t>。比如合同的签订日期为</w:t>
      </w:r>
      <w:r>
        <w:rPr>
          <w:rFonts w:hint="eastAsia" w:ascii="Times New Roman" w:hAnsi="Times New Roman" w:eastAsia="仿宋_GB2312" w:cs="Times New Roman"/>
          <w:sz w:val="32"/>
          <w:szCs w:val="32"/>
          <w:lang w:val="en-US" w:eastAsia="zh-CN"/>
        </w:rPr>
        <w:t>2021</w:t>
      </w:r>
      <w:r>
        <w:rPr>
          <w:rFonts w:hint="eastAsia" w:ascii="仿宋_GB2312" w:hAnsi="仿宋_GB2312" w:eastAsia="仿宋_GB2312" w:cs="仿宋_GB2312"/>
          <w:sz w:val="32"/>
          <w:szCs w:val="32"/>
          <w:lang w:val="en-US" w:eastAsia="zh-CN"/>
        </w:rPr>
        <w:t>年，则其四级编号为“</w:t>
      </w:r>
      <w:r>
        <w:rPr>
          <w:rFonts w:hint="eastAsia" w:ascii="Times New Roman" w:hAnsi="Times New Roman" w:eastAsia="仿宋_GB2312" w:cs="Times New Roman"/>
          <w:sz w:val="32"/>
          <w:szCs w:val="32"/>
          <w:lang w:val="en-US" w:eastAsia="zh-CN"/>
        </w:rPr>
        <w:t>2021</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.五级编号即该年份内所签合同份数顺序号。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根据本合同在集团本部或子公司本年度所有已签订合同中的签订顺序，确定五级编号，</w:t>
      </w:r>
      <w:r>
        <w:rPr>
          <w:rFonts w:hint="eastAsia" w:ascii="仿宋_GB2312" w:hAnsi="仿宋_GB2312" w:eastAsia="仿宋_GB2312" w:cs="仿宋_GB2312"/>
          <w:sz w:val="32"/>
          <w:szCs w:val="32"/>
          <w:lang w:val="en-US" w:eastAsia="zh-CN"/>
        </w:rPr>
        <w:t>从“</w:t>
      </w:r>
      <w:r>
        <w:rPr>
          <w:rFonts w:hint="eastAsia" w:ascii="Times New Roman" w:hAnsi="Times New Roman" w:eastAsia="仿宋_GB2312" w:cs="Times New Roman"/>
          <w:sz w:val="32"/>
          <w:szCs w:val="32"/>
          <w:lang w:val="en-US" w:eastAsia="zh-CN"/>
        </w:rPr>
        <w:t>0001</w:t>
      </w:r>
      <w:r>
        <w:rPr>
          <w:rFonts w:hint="eastAsia" w:ascii="仿宋_GB2312" w:hAnsi="仿宋_GB2312" w:eastAsia="仿宋_GB2312" w:cs="仿宋_GB2312"/>
          <w:sz w:val="32"/>
          <w:szCs w:val="32"/>
          <w:lang w:val="en-US" w:eastAsia="zh-CN"/>
        </w:rPr>
        <w:t>”自“</w:t>
      </w:r>
      <w:r>
        <w:rPr>
          <w:rFonts w:hint="eastAsia" w:ascii="Times New Roman" w:hAnsi="Times New Roman" w:eastAsia="仿宋_GB2312" w:cs="Times New Roman"/>
          <w:sz w:val="32"/>
          <w:szCs w:val="32"/>
          <w:lang w:val="en-US" w:eastAsia="zh-CN"/>
        </w:rPr>
        <w:t>9999</w:t>
      </w:r>
      <w:r>
        <w:rPr>
          <w:rFonts w:hint="eastAsia" w:ascii="仿宋_GB2312" w:hAnsi="仿宋_GB2312" w:eastAsia="仿宋_GB2312" w:cs="仿宋_GB2312"/>
          <w:sz w:val="32"/>
          <w:szCs w:val="32"/>
          <w:lang w:val="en-US" w:eastAsia="zh-CN"/>
        </w:rPr>
        <w:t>”止，列在合同编号最后四位。比如合同是在</w:t>
      </w:r>
      <w:r>
        <w:rPr>
          <w:rFonts w:hint="eastAsia" w:ascii="Times New Roman" w:hAnsi="Times New Roman" w:eastAsia="仿宋_GB2312" w:cs="Times New Roman"/>
          <w:sz w:val="32"/>
          <w:szCs w:val="32"/>
          <w:lang w:val="en-US" w:eastAsia="zh-CN"/>
        </w:rPr>
        <w:t>2021</w:t>
      </w:r>
      <w:r>
        <w:rPr>
          <w:rFonts w:hint="eastAsia" w:ascii="仿宋_GB2312" w:hAnsi="仿宋_GB2312" w:eastAsia="仿宋_GB2312" w:cs="仿宋_GB2312"/>
          <w:sz w:val="32"/>
          <w:szCs w:val="32"/>
          <w:lang w:val="en-US" w:eastAsia="zh-CN"/>
        </w:rPr>
        <w:t>年份中签订的第</w:t>
      </w:r>
      <w:r>
        <w:rPr>
          <w:rFonts w:hint="eastAsia" w:ascii="Times New Roman" w:hAnsi="Times New Roman" w:eastAsia="仿宋_GB2312" w:cs="Times New Roman"/>
          <w:sz w:val="32"/>
          <w:szCs w:val="32"/>
          <w:lang w:val="en-US" w:eastAsia="zh-CN"/>
        </w:rPr>
        <w:t>88</w:t>
      </w:r>
      <w:r>
        <w:rPr>
          <w:rFonts w:hint="eastAsia" w:ascii="仿宋_GB2312" w:hAnsi="仿宋_GB2312" w:eastAsia="仿宋_GB2312" w:cs="仿宋_GB2312"/>
          <w:sz w:val="32"/>
          <w:szCs w:val="32"/>
          <w:lang w:val="en-US" w:eastAsia="zh-CN"/>
        </w:rPr>
        <w:t>个合同，则其五级编号为“</w:t>
      </w:r>
      <w:r>
        <w:rPr>
          <w:rFonts w:hint="eastAsia" w:ascii="Times New Roman" w:hAnsi="Times New Roman" w:eastAsia="仿宋_GB2312" w:cs="Times New Roman"/>
          <w:sz w:val="32"/>
          <w:szCs w:val="32"/>
          <w:lang w:val="en-US" w:eastAsia="zh-CN"/>
        </w:rPr>
        <w:t>0088</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（三）补充协议、解除合同的编号方法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.补充协议是指对主合同的补充或者变更，在与主合同共用一个编号前提下，根据补充协议的签订顺序在五级编号后用“（两位阿拉伯数字）”标识，从“</w:t>
      </w:r>
      <w:r>
        <w:rPr>
          <w:rFonts w:hint="default" w:ascii="Times New Roman" w:hAnsi="Times New Roman" w:eastAsia="仿宋_GB2312" w:cs="Times New Roman"/>
          <w:sz w:val="32"/>
          <w:szCs w:val="32"/>
          <w:highlight w:val="none"/>
          <w:lang w:val="en-US" w:eastAsia="zh-CN"/>
        </w:rPr>
        <w:t>01</w:t>
      </w:r>
      <w:r>
        <w:rPr>
          <w:rFonts w:hint="eastAsia" w:ascii="仿宋_GB2312" w:hAnsi="仿宋_GB2312" w:eastAsia="仿宋_GB2312" w:cs="仿宋_GB2312"/>
          <w:sz w:val="32"/>
          <w:szCs w:val="32"/>
          <w:lang w:val="en-US" w:eastAsia="zh-CN"/>
        </w:rPr>
        <w:t>”自“</w:t>
      </w:r>
      <w:r>
        <w:rPr>
          <w:rFonts w:hint="eastAsia" w:ascii="Times New Roman" w:hAnsi="Times New Roman" w:eastAsia="仿宋_GB2312" w:cs="Times New Roman"/>
          <w:sz w:val="32"/>
          <w:szCs w:val="32"/>
          <w:highlight w:val="none"/>
          <w:lang w:val="en-US" w:eastAsia="zh-CN"/>
        </w:rPr>
        <w:t>99</w:t>
      </w:r>
      <w:r>
        <w:rPr>
          <w:rFonts w:hint="eastAsia" w:ascii="仿宋_GB2312" w:hAnsi="仿宋_GB2312" w:eastAsia="仿宋_GB2312" w:cs="仿宋_GB2312"/>
          <w:sz w:val="32"/>
          <w:szCs w:val="32"/>
          <w:lang w:val="en-US" w:eastAsia="zh-CN"/>
        </w:rPr>
        <w:t>”止。比如该协议是在合同编号为JTBB-FW-WT-</w:t>
      </w:r>
      <w:r>
        <w:rPr>
          <w:rFonts w:hint="eastAsia" w:ascii="Times New Roman" w:hAnsi="Times New Roman" w:eastAsia="仿宋_GB2312" w:cs="Times New Roman"/>
          <w:sz w:val="32"/>
          <w:szCs w:val="32"/>
          <w:highlight w:val="none"/>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highlight w:val="none"/>
          <w:lang w:val="en-US" w:eastAsia="zh-CN"/>
        </w:rPr>
        <w:t>0001</w:t>
      </w:r>
      <w:r>
        <w:rPr>
          <w:rFonts w:hint="eastAsia" w:ascii="仿宋_GB2312" w:hAnsi="仿宋_GB2312" w:eastAsia="仿宋_GB2312" w:cs="仿宋_GB2312"/>
          <w:sz w:val="32"/>
          <w:szCs w:val="32"/>
          <w:lang w:val="en-US" w:eastAsia="zh-CN"/>
        </w:rPr>
        <w:t>的主合同签订后的第一个补充协议，则其合同编号为“JTBB-FW-WT-2021-0001（</w:t>
      </w:r>
      <w:r>
        <w:rPr>
          <w:rFonts w:hint="eastAsia" w:ascii="Times New Roman" w:hAnsi="Times New Roman" w:eastAsia="仿宋_GB2312" w:cs="Times New Roman"/>
          <w:sz w:val="32"/>
          <w:szCs w:val="32"/>
          <w:highlight w:val="none"/>
          <w:lang w:val="en-US" w:eastAsia="zh-CN"/>
        </w:rPr>
        <w:t>01</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.解除合同是对原合同的解除，在与主合同共用一个编号前提下，根据解除协议的签订顺序在五级编号后用“（JC）”或“（</w:t>
      </w:r>
      <w:r>
        <w:rPr>
          <w:rFonts w:hint="default" w:ascii="Times New Roman" w:hAnsi="Times New Roman" w:eastAsia="仿宋_GB2312" w:cs="Times New Roman"/>
          <w:sz w:val="32"/>
          <w:szCs w:val="32"/>
          <w:lang w:val="en-US" w:eastAsia="zh-CN"/>
        </w:rPr>
        <w:t>01</w:t>
      </w:r>
      <w:r>
        <w:rPr>
          <w:rFonts w:hint="eastAsia" w:ascii="仿宋_GB2312" w:hAnsi="仿宋_GB2312" w:eastAsia="仿宋_GB2312" w:cs="仿宋_GB2312"/>
          <w:sz w:val="32"/>
          <w:szCs w:val="32"/>
          <w:lang w:val="en-US" w:eastAsia="zh-CN"/>
        </w:rPr>
        <w:t>JC）”标识。比如该协议是在合同编号为JTBB-FW-WT-</w:t>
      </w:r>
      <w:r>
        <w:rPr>
          <w:rFonts w:hint="eastAsia" w:ascii="Times New Roman" w:hAnsi="Times New Roman" w:eastAsia="仿宋_GB2312" w:cs="Times New Roman"/>
          <w:sz w:val="32"/>
          <w:szCs w:val="32"/>
          <w:highlight w:val="none"/>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highlight w:val="none"/>
          <w:lang w:val="en-US" w:eastAsia="zh-CN"/>
        </w:rPr>
        <w:t>0001</w:t>
      </w:r>
      <w:r>
        <w:rPr>
          <w:rFonts w:hint="eastAsia" w:ascii="仿宋_GB2312" w:hAnsi="仿宋_GB2312" w:eastAsia="仿宋_GB2312" w:cs="仿宋_GB2312"/>
          <w:sz w:val="32"/>
          <w:szCs w:val="32"/>
          <w:lang w:val="en-US" w:eastAsia="zh-CN"/>
        </w:rPr>
        <w:t>的主合同签订后的解除协议，则其合同编号为“JTBB-FW-WT-</w:t>
      </w:r>
      <w:r>
        <w:rPr>
          <w:rFonts w:hint="eastAsia" w:ascii="Times New Roman" w:hAnsi="Times New Roman" w:eastAsia="仿宋_GB2312" w:cs="Times New Roman"/>
          <w:sz w:val="32"/>
          <w:szCs w:val="32"/>
          <w:highlight w:val="none"/>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highlight w:val="none"/>
          <w:lang w:val="en-US" w:eastAsia="zh-CN"/>
        </w:rPr>
        <w:t>0001</w:t>
      </w:r>
      <w:r>
        <w:rPr>
          <w:rFonts w:hint="eastAsia" w:ascii="仿宋_GB2312" w:hAnsi="仿宋_GB2312" w:eastAsia="仿宋_GB2312" w:cs="仿宋_GB2312"/>
          <w:sz w:val="32"/>
          <w:szCs w:val="32"/>
          <w:lang w:val="en-US" w:eastAsia="zh-CN"/>
        </w:rPr>
        <w:t>（JC）”；如该协议是在合同编号为JTBB-FW-WT-2021-0001（</w:t>
      </w:r>
      <w:r>
        <w:rPr>
          <w:rFonts w:hint="eastAsia" w:ascii="Times New Roman" w:hAnsi="Times New Roman" w:eastAsia="仿宋_GB2312" w:cs="Times New Roman"/>
          <w:sz w:val="32"/>
          <w:szCs w:val="32"/>
          <w:highlight w:val="none"/>
          <w:lang w:val="en-US" w:eastAsia="zh-CN"/>
        </w:rPr>
        <w:t>01</w:t>
      </w:r>
      <w:r>
        <w:rPr>
          <w:rFonts w:hint="eastAsia" w:ascii="仿宋_GB2312" w:hAnsi="仿宋_GB2312" w:eastAsia="仿宋_GB2312" w:cs="仿宋_GB2312"/>
          <w:sz w:val="32"/>
          <w:szCs w:val="32"/>
          <w:lang w:val="en-US" w:eastAsia="zh-CN"/>
        </w:rPr>
        <w:t>）的补充协议的解除协议，则其合同编号为“JTBB-FW-WT-</w:t>
      </w:r>
      <w:r>
        <w:rPr>
          <w:rFonts w:hint="eastAsia" w:ascii="Times New Roman" w:hAnsi="Times New Roman" w:eastAsia="仿宋_GB2312" w:cs="Times New Roman"/>
          <w:sz w:val="32"/>
          <w:szCs w:val="32"/>
          <w:highlight w:val="none"/>
          <w:lang w:val="en-US" w:eastAsia="zh-CN"/>
        </w:rPr>
        <w:t>2021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highlight w:val="none"/>
          <w:lang w:val="en-US" w:eastAsia="zh-CN"/>
        </w:rPr>
        <w:t>0001</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Times New Roman"/>
          <w:sz w:val="32"/>
          <w:szCs w:val="32"/>
          <w:highlight w:val="none"/>
          <w:lang w:val="en-US" w:eastAsia="zh-CN"/>
        </w:rPr>
        <w:t>01</w:t>
      </w:r>
      <w:r>
        <w:rPr>
          <w:rFonts w:hint="eastAsia" w:ascii="仿宋_GB2312" w:hAnsi="仿宋_GB2312" w:eastAsia="仿宋_GB2312" w:cs="仿宋_GB2312"/>
          <w:sz w:val="32"/>
          <w:szCs w:val="32"/>
          <w:lang w:val="en-US" w:eastAsia="zh-CN"/>
        </w:rPr>
        <w:t>JC）”。</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.合同纠纷引起的诉讼或者仲裁之后又达成的和解协议的，按照诉讼、仲裁案件编号、归档，不受本办法约束。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第七条</w:t>
      </w:r>
      <w:r>
        <w:rPr>
          <w:rFonts w:hint="eastAsia" w:ascii="仿宋_GB2312" w:hAnsi="仿宋_GB2312" w:eastAsia="仿宋_GB2312" w:cs="仿宋_GB2312"/>
          <w:sz w:val="32"/>
          <w:szCs w:val="32"/>
          <w:lang w:val="en-US" w:eastAsia="zh-CN"/>
        </w:rPr>
        <w:t xml:space="preserve"> 合同编号应体现在合同文本以及合同管理全过程中。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第四章  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第八条</w:t>
      </w:r>
      <w:r>
        <w:rPr>
          <w:rFonts w:hint="eastAsia" w:ascii="仿宋_GB2312" w:hAnsi="仿宋_GB2312" w:eastAsia="仿宋_GB2312" w:cs="仿宋_GB2312"/>
          <w:sz w:val="32"/>
          <w:szCs w:val="32"/>
          <w:lang w:val="en-US" w:eastAsia="zh-CN"/>
        </w:rPr>
        <w:t xml:space="preserve"> 本办法由山东海洋文化旅游发展集团有限公司法务审计部负责解释。</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Times New Roman" w:hAnsi="Times New Roman" w:cs="Times New Roman"/>
        </w:rPr>
      </w:pPr>
      <w:r>
        <w:rPr>
          <w:rFonts w:hint="eastAsia" w:ascii="黑体" w:hAnsi="黑体" w:eastAsia="黑体" w:cs="黑体"/>
          <w:sz w:val="32"/>
          <w:szCs w:val="32"/>
          <w:lang w:val="en-US" w:eastAsia="zh-CN"/>
        </w:rPr>
        <w:t>第九条</w:t>
      </w:r>
      <w:r>
        <w:rPr>
          <w:rFonts w:hint="eastAsia" w:ascii="仿宋_GB2312" w:hAnsi="仿宋_GB2312" w:eastAsia="仿宋_GB2312" w:cs="仿宋_GB2312"/>
          <w:sz w:val="32"/>
          <w:szCs w:val="32"/>
          <w:lang w:val="en-US" w:eastAsia="zh-CN"/>
        </w:rPr>
        <w:t xml:space="preserve"> 本办法自印发之日起施行。</w:t>
      </w:r>
    </w:p>
    <w:p/>
    <w:sectPr>
      <w:pgSz w:w="11906" w:h="16838"/>
      <w:pgMar w:top="1984"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880649"/>
    <w:rsid w:val="07880649"/>
    <w:rsid w:val="2CB00523"/>
    <w:rsid w:val="41700FE0"/>
    <w:rsid w:val="4CD15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2021-10-15T07:16:00Z</dcterms:created>
  <dc:creator>初亚男</dc:creator>
  <cp:lastModifiedBy>初亚男</cp:lastModifiedBy>
  <dcterms:modified xsi:type="dcterms:W3CDTF">2021-10-15T09:02:06Z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C7B4A9A880B249F28D01615EB2E287A8</vt:lpwstr>
  </property>
</Properties>
</file>